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22AC7">
      <w:pPr>
        <w:tabs>
          <w:tab w:val="left" w:pos="3106"/>
          <w:tab w:val="center" w:pos="4536"/>
          <w:tab w:val="left" w:pos="6720"/>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14bis</w:t>
      </w:r>
      <w:r>
        <w:rPr>
          <w:rFonts w:ascii="Arial" w:hAnsi="Arial" w:cs="Arial"/>
          <w:b/>
        </w:rPr>
        <w:tab/>
      </w:r>
      <w:r>
        <w:rPr>
          <w:rFonts w:ascii="Arial" w:hAnsi="Arial" w:cs="Arial"/>
          <w:b/>
          <w:bCs/>
        </w:rPr>
        <w:tab/>
      </w:r>
      <w:r>
        <w:rPr>
          <w:rFonts w:hint="eastAsia" w:ascii="Arial" w:hAnsi="Arial" w:cs="Arial"/>
          <w:b/>
          <w:bCs/>
          <w:lang w:val="en-US" w:eastAsia="zh-CN"/>
        </w:rPr>
        <w:tab/>
      </w:r>
      <w:r>
        <w:rPr>
          <w:rFonts w:ascii="Arial" w:hAnsi="Arial" w:cs="Arial"/>
          <w:b/>
          <w:bCs/>
        </w:rPr>
        <w:t>R4-2</w:t>
      </w:r>
      <w:bookmarkEnd w:id="0"/>
      <w:r>
        <w:rPr>
          <w:rFonts w:hint="eastAsia" w:ascii="Arial" w:hAnsi="Arial" w:cs="Arial"/>
          <w:b/>
          <w:bCs/>
          <w:lang w:val="en-US" w:eastAsia="zh-CN"/>
        </w:rPr>
        <w:t>503386</w:t>
      </w:r>
    </w:p>
    <w:p w14:paraId="2F11A2FE">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hint="eastAsia" w:ascii="Arial" w:hAnsi="Arial" w:eastAsia="宋体" w:cs="Arial"/>
          <w:b/>
          <w:sz w:val="24"/>
          <w:szCs w:val="24"/>
          <w:lang w:val="en-US" w:eastAsia="zh-CN"/>
        </w:rPr>
        <w:t>Wuhan</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w:t>
      </w:r>
      <w:r>
        <w:rPr>
          <w:rFonts w:ascii="Arial" w:hAnsi="Arial" w:eastAsia="宋体" w:cs="Arial"/>
          <w:b/>
          <w:sz w:val="24"/>
          <w:szCs w:val="24"/>
          <w:lang w:eastAsia="zh-CN"/>
        </w:rPr>
        <w:t>1</w:t>
      </w:r>
      <w:bookmarkStart w:id="27" w:name="_GoBack"/>
      <w:bookmarkEnd w:id="27"/>
      <w:r>
        <w:rPr>
          <w:rFonts w:ascii="Arial" w:hAnsi="Arial" w:eastAsia="宋体" w:cs="Arial"/>
          <w:b/>
          <w:sz w:val="24"/>
          <w:szCs w:val="24"/>
          <w:vertAlign w:val="superscript"/>
          <w:lang w:eastAsia="zh-CN"/>
        </w:rPr>
        <w:t>t</w:t>
      </w:r>
      <w:r>
        <w:rPr>
          <w:rFonts w:hint="eastAsia" w:ascii="Arial" w:hAnsi="Arial" w:eastAsia="宋体" w:cs="Arial"/>
          <w:b/>
          <w:sz w:val="24"/>
          <w:szCs w:val="24"/>
          <w:vertAlign w:val="superscript"/>
          <w:lang w:val="en-US" w:eastAsia="zh-CN"/>
        </w:rPr>
        <w: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2025</w:t>
      </w:r>
    </w:p>
    <w:p w14:paraId="2F925B34">
      <w:pPr>
        <w:tabs>
          <w:tab w:val="left" w:pos="1765"/>
          <w:tab w:val="center" w:pos="4557"/>
        </w:tabs>
        <w:rPr>
          <w:b/>
          <w:sz w:val="22"/>
        </w:rPr>
      </w:pPr>
    </w:p>
    <w:p w14:paraId="61B573AC">
      <w:pPr>
        <w:tabs>
          <w:tab w:val="left" w:pos="1765"/>
          <w:tab w:val="center" w:pos="4557"/>
        </w:tabs>
        <w:rPr>
          <w:rFonts w:hint="default" w:eastAsiaTheme="minorEastAsia"/>
          <w:b/>
          <w:sz w:val="22"/>
          <w:lang w:val="en-US" w:eastAsia="zh-CN"/>
        </w:rPr>
      </w:pPr>
      <w:r>
        <w:rPr>
          <w:b/>
          <w:sz w:val="22"/>
        </w:rPr>
        <w:t>Agenda I</w:t>
      </w:r>
      <w:r>
        <w:rPr>
          <w:b/>
          <w:sz w:val="22"/>
          <w:highlight w:val="none"/>
        </w:rPr>
        <w:t>tem:</w:t>
      </w:r>
      <w:r>
        <w:rPr>
          <w:b/>
          <w:sz w:val="22"/>
          <w:highlight w:val="none"/>
        </w:rPr>
        <w:tab/>
      </w:r>
      <w:r>
        <w:rPr>
          <w:rFonts w:hint="eastAsia"/>
          <w:sz w:val="22"/>
          <w:highlight w:val="none"/>
          <w:lang w:val="en-US" w:eastAsia="zh-CN"/>
        </w:rPr>
        <w:t>7.29.4.2</w:t>
      </w:r>
    </w:p>
    <w:p w14:paraId="35DDB52F">
      <w:pPr>
        <w:tabs>
          <w:tab w:val="left" w:pos="1765"/>
        </w:tabs>
        <w:rPr>
          <w:sz w:val="22"/>
        </w:rPr>
      </w:pPr>
      <w:r>
        <w:rPr>
          <w:b/>
          <w:sz w:val="22"/>
        </w:rPr>
        <w:t xml:space="preserve">Source: </w:t>
      </w:r>
      <w:r>
        <w:rPr>
          <w:b/>
          <w:sz w:val="22"/>
        </w:rPr>
        <w:tab/>
      </w:r>
      <w:bookmarkStart w:id="1" w:name="_Hlk41145958"/>
      <w:r>
        <w:rPr>
          <w:sz w:val="22"/>
        </w:rPr>
        <w:t>CMCC</w:t>
      </w:r>
      <w:bookmarkEnd w:id="1"/>
    </w:p>
    <w:p w14:paraId="46931D48">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w:t>
      </w:r>
      <w:r>
        <w:rPr>
          <w:rFonts w:hint="eastAsia"/>
          <w:sz w:val="22"/>
        </w:rPr>
        <w:t>Discussion on the RRM requirement for NTN phase3</w:t>
      </w:r>
    </w:p>
    <w:bookmarkEnd w:id="3"/>
    <w:bookmarkEnd w:id="4"/>
    <w:p w14:paraId="08BB85F5">
      <w:pPr>
        <w:tabs>
          <w:tab w:val="left" w:pos="1765"/>
        </w:tabs>
        <w:rPr>
          <w:sz w:val="22"/>
        </w:rPr>
      </w:pPr>
      <w:r>
        <w:rPr>
          <w:b/>
          <w:sz w:val="22"/>
        </w:rPr>
        <w:t>Document for:</w:t>
      </w:r>
      <w:r>
        <w:rPr>
          <w:b/>
          <w:sz w:val="22"/>
        </w:rPr>
        <w:tab/>
      </w:r>
      <w:r>
        <w:rPr>
          <w:sz w:val="22"/>
        </w:rPr>
        <w:t>Discussion</w:t>
      </w:r>
    </w:p>
    <w:p w14:paraId="6E1AA212">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E606DC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 xml:space="preserve">In last meeting, RAN4 achieved some general agreements for objectives of DL coverage enhancement. The WF has been approved in [1]. </w:t>
      </w: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 xml:space="preserve">discuss the </w:t>
      </w:r>
      <w:r>
        <w:rPr>
          <w:rFonts w:hint="eastAsia" w:eastAsia="等线"/>
          <w:sz w:val="20"/>
          <w:szCs w:val="20"/>
          <w:lang w:val="en-US" w:eastAsia="zh-CN"/>
        </w:rPr>
        <w:t>open issues this objective</w:t>
      </w:r>
      <w:r>
        <w:rPr>
          <w:rFonts w:eastAsia="等线"/>
          <w:sz w:val="20"/>
          <w:szCs w:val="20"/>
        </w:rPr>
        <w:t>.</w:t>
      </w:r>
    </w:p>
    <w:p w14:paraId="31630D25">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2"/>
      <w:bookmarkStart w:id="7" w:name="OLE_LINK1"/>
      <w:r>
        <w:rPr>
          <w:rFonts w:hint="eastAsia" w:ascii="Times New Roman" w:hAnsi="Times New Roman"/>
          <w:b w:val="0"/>
          <w:bCs w:val="0"/>
          <w:kern w:val="0"/>
          <w:sz w:val="36"/>
          <w:szCs w:val="36"/>
          <w:lang w:val="en-US" w:eastAsia="zh-CN"/>
        </w:rPr>
        <w:t>Downlink coverage enhancements</w:t>
      </w:r>
    </w:p>
    <w:p w14:paraId="6C93BC99">
      <w:pPr>
        <w:keepNext w:val="0"/>
        <w:keepLines w:val="0"/>
        <w:pageBreakBefore w:val="0"/>
        <w:widowControl/>
        <w:kinsoku/>
        <w:wordWrap/>
        <w:overflowPunct/>
        <w:topLinePunct w:val="0"/>
        <w:autoSpaceDE/>
        <w:autoSpaceDN/>
        <w:bidi w:val="0"/>
        <w:adjustRightInd/>
        <w:snapToGrid/>
        <w:spacing w:before="60" w:after="60" w:line="240" w:lineRule="auto"/>
        <w:textAlignment w:val="auto"/>
        <w:outlineLvl w:val="1"/>
        <w:rPr>
          <w:b/>
          <w:bCs/>
          <w:i/>
          <w:iCs/>
          <w:sz w:val="20"/>
          <w:szCs w:val="20"/>
          <w:u w:val="single"/>
          <w:lang w:val="en-US" w:eastAsia="zh-CN"/>
        </w:rPr>
      </w:pPr>
      <w:bookmarkStart w:id="8" w:name="_Hlk147849822"/>
      <w:r>
        <w:rPr>
          <w:b/>
          <w:i/>
          <w:iCs/>
          <w:sz w:val="20"/>
          <w:szCs w:val="20"/>
          <w:u w:val="single"/>
          <w:lang w:eastAsia="ko-KR"/>
        </w:rPr>
        <w:t xml:space="preserve">Issue 1-1: </w:t>
      </w:r>
      <w:r>
        <w:rPr>
          <w:b/>
          <w:bCs/>
          <w:i/>
          <w:iCs/>
          <w:sz w:val="20"/>
          <w:szCs w:val="20"/>
          <w:u w:val="single"/>
          <w:lang w:val="en-US" w:eastAsia="zh-CN"/>
        </w:rPr>
        <w:t>Cell Re</w:t>
      </w:r>
      <w:r>
        <w:rPr>
          <w:rFonts w:hint="eastAsia"/>
          <w:b/>
          <w:bCs/>
          <w:i/>
          <w:iCs/>
          <w:sz w:val="20"/>
          <w:szCs w:val="20"/>
          <w:u w:val="single"/>
          <w:lang w:val="en-US" w:eastAsia="zh-CN"/>
        </w:rPr>
        <w:t>-</w:t>
      </w:r>
      <w:r>
        <w:rPr>
          <w:b/>
          <w:bCs/>
          <w:i/>
          <w:iCs/>
          <w:sz w:val="20"/>
          <w:szCs w:val="20"/>
          <w:u w:val="single"/>
          <w:lang w:val="en-US" w:eastAsia="zh-CN"/>
        </w:rPr>
        <w:t>selection</w:t>
      </w:r>
    </w:p>
    <w:p w14:paraId="51DFF803">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eastAsia="Malgun Gothic"/>
          <w:b/>
          <w:bCs/>
          <w:i/>
          <w:iCs/>
          <w:sz w:val="20"/>
          <w:szCs w:val="20"/>
          <w:lang w:eastAsia="ko-KR"/>
        </w:rPr>
      </w:pPr>
      <w:r>
        <w:rPr>
          <w:rFonts w:eastAsia="Malgun Gothic"/>
          <w:b/>
          <w:bCs/>
          <w:i/>
          <w:iCs/>
          <w:sz w:val="20"/>
          <w:szCs w:val="20"/>
          <w:highlight w:val="yellow"/>
          <w:lang w:eastAsia="ko-KR"/>
        </w:rPr>
        <w:t>Further discussion:</w:t>
      </w:r>
    </w:p>
    <w:p w14:paraId="4B3E18EF">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363" w:leftChars="0" w:hanging="363" w:firstLineChars="0"/>
        <w:jc w:val="both"/>
        <w:textAlignment w:val="auto"/>
        <w:rPr>
          <w:rFonts w:hint="eastAsia" w:ascii="Times New Roman" w:hAnsi="Times New Roman" w:eastAsia="宋体" w:cs="Times New Roman"/>
          <w:i/>
          <w:iCs/>
          <w:color w:val="auto"/>
          <w:sz w:val="20"/>
          <w:szCs w:val="20"/>
          <w:lang w:val="en-US" w:eastAsia="ja-JP"/>
        </w:rPr>
      </w:pPr>
      <w:r>
        <w:rPr>
          <w:rFonts w:hint="eastAsia" w:ascii="Times New Roman" w:hAnsi="Times New Roman" w:eastAsia="宋体" w:cs="Times New Roman"/>
          <w:i/>
          <w:iCs/>
          <w:color w:val="auto"/>
          <w:sz w:val="20"/>
          <w:szCs w:val="20"/>
          <w:lang w:val="en-US" w:eastAsia="ja-JP"/>
        </w:rPr>
        <w:t>In cell re</w:t>
      </w:r>
      <w:r>
        <w:rPr>
          <w:rFonts w:hint="eastAsia" w:ascii="Times New Roman" w:hAnsi="Times New Roman" w:eastAsia="宋体" w:cs="Times New Roman"/>
          <w:i/>
          <w:iCs/>
          <w:color w:val="auto"/>
          <w:sz w:val="20"/>
          <w:szCs w:val="20"/>
          <w:lang w:val="en-US" w:eastAsia="zh-CN"/>
        </w:rPr>
        <w:t>-</w:t>
      </w:r>
      <w:r>
        <w:rPr>
          <w:rFonts w:hint="eastAsia" w:ascii="Times New Roman" w:hAnsi="Times New Roman" w:eastAsia="宋体" w:cs="Times New Roman"/>
          <w:i/>
          <w:iCs/>
          <w:color w:val="auto"/>
          <w:sz w:val="20"/>
          <w:szCs w:val="20"/>
          <w:lang w:val="en-US" w:eastAsia="ja-JP"/>
        </w:rPr>
        <w:t>selection requirements, discuss whether any update is needed for case where SSB periodicity is larger than 20 ms:</w:t>
      </w:r>
    </w:p>
    <w:p w14:paraId="284F680F">
      <w:pPr>
        <w:pStyle w:val="75"/>
        <w:keepNext w:val="0"/>
        <w:keepLines w:val="0"/>
        <w:pageBreakBefore w:val="0"/>
        <w:widowControl/>
        <w:numPr>
          <w:ilvl w:val="1"/>
          <w:numId w:val="6"/>
        </w:numPr>
        <w:kinsoku/>
        <w:wordWrap/>
        <w:overflowPunct/>
        <w:topLinePunct w:val="0"/>
        <w:autoSpaceDE/>
        <w:autoSpaceDN/>
        <w:bidi w:val="0"/>
        <w:adjustRightInd/>
        <w:snapToGrid/>
        <w:spacing w:before="60" w:after="60"/>
        <w:ind w:left="783" w:leftChars="0" w:hanging="363" w:firstLineChars="0"/>
        <w:jc w:val="both"/>
        <w:textAlignment w:val="auto"/>
        <w:rPr>
          <w:rFonts w:hint="eastAsia" w:ascii="Times New Roman" w:hAnsi="Times New Roman" w:eastAsia="宋体" w:cs="Times New Roman"/>
          <w:i/>
          <w:iCs/>
          <w:color w:val="auto"/>
          <w:sz w:val="20"/>
          <w:szCs w:val="20"/>
          <w:lang w:val="en-US" w:eastAsia="ja-JP"/>
        </w:rPr>
      </w:pPr>
      <w:r>
        <w:rPr>
          <w:rFonts w:hint="eastAsia" w:ascii="Times New Roman" w:hAnsi="Times New Roman" w:eastAsia="宋体" w:cs="Times New Roman"/>
          <w:i/>
          <w:iCs/>
          <w:color w:val="auto"/>
          <w:sz w:val="20"/>
          <w:szCs w:val="20"/>
          <w:lang w:val="en-US" w:eastAsia="ja-JP"/>
        </w:rPr>
        <w:t>Option 1 (Samsung): FFS</w:t>
      </w:r>
    </w:p>
    <w:p w14:paraId="0957DC1F">
      <w:pPr>
        <w:pStyle w:val="75"/>
        <w:keepNext w:val="0"/>
        <w:keepLines w:val="0"/>
        <w:pageBreakBefore w:val="0"/>
        <w:widowControl/>
        <w:numPr>
          <w:ilvl w:val="1"/>
          <w:numId w:val="6"/>
        </w:numPr>
        <w:kinsoku/>
        <w:wordWrap/>
        <w:overflowPunct/>
        <w:topLinePunct w:val="0"/>
        <w:autoSpaceDE/>
        <w:autoSpaceDN/>
        <w:bidi w:val="0"/>
        <w:adjustRightInd/>
        <w:snapToGrid/>
        <w:spacing w:before="60" w:after="60"/>
        <w:ind w:left="783" w:leftChars="0" w:hanging="363" w:firstLineChars="0"/>
        <w:jc w:val="both"/>
        <w:textAlignment w:val="auto"/>
        <w:rPr>
          <w:rFonts w:hint="eastAsia" w:ascii="Times New Roman" w:hAnsi="Times New Roman" w:eastAsia="宋体" w:cs="Times New Roman"/>
          <w:i/>
          <w:iCs/>
          <w:color w:val="auto"/>
          <w:sz w:val="20"/>
          <w:szCs w:val="20"/>
          <w:lang w:val="en-US" w:eastAsia="ja-JP"/>
        </w:rPr>
      </w:pPr>
      <w:r>
        <w:rPr>
          <w:rFonts w:hint="eastAsia" w:ascii="Times New Roman" w:hAnsi="Times New Roman" w:eastAsia="宋体" w:cs="Times New Roman"/>
          <w:i/>
          <w:iCs/>
          <w:color w:val="auto"/>
          <w:sz w:val="20"/>
          <w:szCs w:val="20"/>
          <w:lang w:val="en-US" w:eastAsia="ja-JP"/>
        </w:rPr>
        <w:t>Option 2 (vivo): No update is needed</w:t>
      </w:r>
    </w:p>
    <w:p w14:paraId="298A7ECF">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sz w:val="20"/>
          <w:szCs w:val="20"/>
          <w:lang w:val="en-US" w:eastAsia="zh-CN"/>
        </w:rPr>
      </w:pPr>
      <w:r>
        <w:rPr>
          <w:rFonts w:hint="eastAsia"/>
          <w:sz w:val="20"/>
          <w:szCs w:val="20"/>
          <w:lang w:val="en-US" w:eastAsia="zh-CN"/>
        </w:rPr>
        <w:t>In our understanding, the legacy cell re-selection requirements have already considered and supported the SMTC periodicity larger than 20ms. Therefore, no update is needed.</w:t>
      </w:r>
    </w:p>
    <w:p w14:paraId="1B900F86">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b/>
          <w:bCs/>
          <w:i/>
          <w:iCs/>
          <w:sz w:val="20"/>
          <w:szCs w:val="20"/>
          <w:lang w:val="en-US" w:eastAsia="zh-CN"/>
        </w:rPr>
      </w:pPr>
      <w:bookmarkStart w:id="9" w:name="OLE_LINK6"/>
      <w:r>
        <w:rPr>
          <w:rFonts w:hint="eastAsia"/>
          <w:b/>
          <w:bCs/>
          <w:i/>
          <w:iCs/>
          <w:sz w:val="20"/>
          <w:szCs w:val="20"/>
          <w:lang w:val="en-US" w:eastAsia="zh-CN"/>
        </w:rPr>
        <w:t>Proposal 1: For the SSB periodicity larger than 20ms case, no update is needed for cell re-selection requirements.</w:t>
      </w:r>
    </w:p>
    <w:bookmarkEnd w:id="9"/>
    <w:p w14:paraId="72D3A694">
      <w:pPr>
        <w:keepNext w:val="0"/>
        <w:keepLines w:val="0"/>
        <w:pageBreakBefore w:val="0"/>
        <w:widowControl/>
        <w:kinsoku/>
        <w:wordWrap/>
        <w:overflowPunct/>
        <w:topLinePunct w:val="0"/>
        <w:autoSpaceDE/>
        <w:autoSpaceDN/>
        <w:bidi w:val="0"/>
        <w:adjustRightInd/>
        <w:snapToGrid/>
        <w:spacing w:after="60" w:line="240" w:lineRule="auto"/>
        <w:textAlignment w:val="auto"/>
        <w:outlineLvl w:val="2"/>
        <w:rPr>
          <w:rFonts w:eastAsia="宋体"/>
          <w:b/>
          <w:i/>
          <w:iCs/>
          <w:sz w:val="20"/>
          <w:szCs w:val="20"/>
          <w:u w:val="single"/>
          <w:lang w:val="en-GB" w:eastAsia="ko-KR"/>
        </w:rPr>
      </w:pPr>
    </w:p>
    <w:p w14:paraId="24E3E9F5">
      <w:pPr>
        <w:keepNext w:val="0"/>
        <w:keepLines w:val="0"/>
        <w:pageBreakBefore w:val="0"/>
        <w:widowControl/>
        <w:kinsoku/>
        <w:wordWrap/>
        <w:overflowPunct/>
        <w:topLinePunct w:val="0"/>
        <w:autoSpaceDE/>
        <w:autoSpaceDN/>
        <w:bidi w:val="0"/>
        <w:adjustRightInd/>
        <w:snapToGrid/>
        <w:spacing w:before="60" w:after="60" w:line="240" w:lineRule="auto"/>
        <w:textAlignment w:val="auto"/>
        <w:outlineLvl w:val="1"/>
        <w:rPr>
          <w:rFonts w:ascii="Times New Roman" w:hAnsi="Times New Roman" w:cs="Times New Roman"/>
          <w:b/>
          <w:i/>
          <w:iCs/>
          <w:sz w:val="20"/>
          <w:szCs w:val="20"/>
          <w:u w:val="single"/>
          <w:lang w:val="en-US" w:eastAsia="zh-CN"/>
        </w:rPr>
      </w:pPr>
      <w:r>
        <w:rPr>
          <w:rFonts w:ascii="Times New Roman" w:hAnsi="Times New Roman" w:cs="Times New Roman"/>
          <w:b/>
          <w:i/>
          <w:iCs/>
          <w:sz w:val="20"/>
          <w:szCs w:val="20"/>
          <w:u w:val="single"/>
          <w:lang w:eastAsia="ko-KR"/>
        </w:rPr>
        <w:t xml:space="preserve">Issue 1-5: </w:t>
      </w:r>
      <w:r>
        <w:rPr>
          <w:rFonts w:ascii="Times New Roman" w:hAnsi="Times New Roman" w:cs="Times New Roman"/>
          <w:b/>
          <w:i/>
          <w:iCs/>
          <w:sz w:val="20"/>
          <w:szCs w:val="20"/>
          <w:u w:val="single"/>
          <w:lang w:val="en-US" w:eastAsia="zh-CN"/>
        </w:rPr>
        <w:t>Paging</w:t>
      </w:r>
    </w:p>
    <w:p w14:paraId="6812E1F6">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ascii="Times New Roman" w:hAnsi="Times New Roman" w:eastAsia="Malgun Gothic" w:cs="Times New Roman"/>
          <w:b/>
          <w:bCs/>
          <w:i/>
          <w:iCs/>
          <w:sz w:val="20"/>
          <w:szCs w:val="20"/>
          <w:highlight w:val="yellow"/>
          <w:lang w:eastAsia="ko-KR"/>
        </w:rPr>
      </w:pPr>
      <w:r>
        <w:rPr>
          <w:rFonts w:ascii="Times New Roman" w:hAnsi="Times New Roman" w:eastAsia="Malgun Gothic" w:cs="Times New Roman"/>
          <w:b/>
          <w:bCs/>
          <w:i/>
          <w:iCs/>
          <w:sz w:val="20"/>
          <w:szCs w:val="20"/>
          <w:highlight w:val="yellow"/>
          <w:lang w:eastAsia="ko-KR"/>
        </w:rPr>
        <w:t>Further discussion:</w:t>
      </w:r>
    </w:p>
    <w:p w14:paraId="6FB0F602">
      <w:pPr>
        <w:pStyle w:val="75"/>
        <w:numPr>
          <w:ilvl w:val="0"/>
          <w:numId w:val="7"/>
        </w:numPr>
        <w:ind w:left="360" w:firstLineChars="0"/>
        <w:rPr>
          <w:i/>
          <w:iCs/>
          <w:sz w:val="20"/>
          <w:szCs w:val="20"/>
          <w:lang w:eastAsia="ja-JP"/>
        </w:rPr>
      </w:pPr>
      <w:r>
        <w:rPr>
          <w:i/>
          <w:iCs/>
          <w:sz w:val="20"/>
          <w:szCs w:val="20"/>
          <w:lang w:eastAsia="ja-JP"/>
        </w:rPr>
        <w:t>Further discuss whether any update is needed to paging interruption requirements for NGSO scenarios when the SSB periods is equal to 160 ms:</w:t>
      </w:r>
    </w:p>
    <w:p w14:paraId="4BF74AB0">
      <w:pPr>
        <w:pStyle w:val="75"/>
        <w:keepNext w:val="0"/>
        <w:keepLines w:val="0"/>
        <w:pageBreakBefore w:val="0"/>
        <w:widowControl/>
        <w:numPr>
          <w:ilvl w:val="1"/>
          <w:numId w:val="6"/>
        </w:numPr>
        <w:kinsoku/>
        <w:wordWrap/>
        <w:overflowPunct/>
        <w:topLinePunct w:val="0"/>
        <w:autoSpaceDE/>
        <w:autoSpaceDN/>
        <w:bidi w:val="0"/>
        <w:adjustRightInd/>
        <w:snapToGrid/>
        <w:spacing w:before="60" w:after="60"/>
        <w:ind w:left="783" w:leftChars="0" w:hanging="363" w:firstLineChars="0"/>
        <w:jc w:val="both"/>
        <w:textAlignment w:val="auto"/>
        <w:rPr>
          <w:rFonts w:hint="eastAsia" w:ascii="Times New Roman" w:hAnsi="Times New Roman" w:eastAsia="宋体" w:cs="Times New Roman"/>
          <w:i/>
          <w:iCs/>
          <w:color w:val="auto"/>
          <w:sz w:val="20"/>
          <w:szCs w:val="20"/>
          <w:lang w:val="en-US" w:eastAsia="ja-JP"/>
        </w:rPr>
      </w:pPr>
      <w:r>
        <w:rPr>
          <w:rFonts w:hint="eastAsia" w:ascii="Times New Roman" w:hAnsi="Times New Roman" w:eastAsia="宋体" w:cs="Times New Roman"/>
          <w:i/>
          <w:iCs/>
          <w:color w:val="auto"/>
          <w:sz w:val="20"/>
          <w:szCs w:val="20"/>
          <w:lang w:val="en-US" w:eastAsia="ja-JP"/>
        </w:rPr>
        <w:t>Option 1 (Huawei, vivo): no update is needed</w:t>
      </w:r>
    </w:p>
    <w:p w14:paraId="78ABD705">
      <w:pPr>
        <w:pStyle w:val="75"/>
        <w:keepNext w:val="0"/>
        <w:keepLines w:val="0"/>
        <w:pageBreakBefore w:val="0"/>
        <w:widowControl/>
        <w:numPr>
          <w:ilvl w:val="1"/>
          <w:numId w:val="6"/>
        </w:numPr>
        <w:kinsoku/>
        <w:wordWrap/>
        <w:overflowPunct/>
        <w:topLinePunct w:val="0"/>
        <w:autoSpaceDE/>
        <w:autoSpaceDN/>
        <w:bidi w:val="0"/>
        <w:adjustRightInd/>
        <w:snapToGrid/>
        <w:spacing w:before="60" w:after="60"/>
        <w:ind w:left="783" w:leftChars="0" w:hanging="363" w:firstLineChars="0"/>
        <w:jc w:val="both"/>
        <w:textAlignment w:val="auto"/>
        <w:rPr>
          <w:rFonts w:hint="eastAsia" w:ascii="Times New Roman" w:hAnsi="Times New Roman" w:eastAsia="宋体" w:cs="Times New Roman"/>
          <w:i/>
          <w:iCs/>
          <w:color w:val="auto"/>
          <w:sz w:val="20"/>
          <w:szCs w:val="20"/>
          <w:lang w:val="en-US" w:eastAsia="ja-JP"/>
        </w:rPr>
      </w:pPr>
      <w:r>
        <w:rPr>
          <w:rFonts w:hint="eastAsia" w:ascii="Times New Roman" w:hAnsi="Times New Roman" w:eastAsia="宋体" w:cs="Times New Roman"/>
          <w:i/>
          <w:iCs/>
          <w:color w:val="auto"/>
          <w:sz w:val="20"/>
          <w:szCs w:val="20"/>
          <w:lang w:val="en-US" w:eastAsia="ja-JP"/>
        </w:rPr>
        <w:t>Option 2 (Nokia): reduce the multiplying factor K in 4.2C.2.5</w:t>
      </w:r>
    </w:p>
    <w:p w14:paraId="5FDEE820">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eastAsia="宋体"/>
          <w:b w:val="0"/>
          <w:bCs/>
          <w:i w:val="0"/>
          <w:iCs w:val="0"/>
          <w:sz w:val="20"/>
          <w:szCs w:val="20"/>
          <w:u w:val="none"/>
          <w:lang w:val="en-US" w:eastAsia="zh-CN"/>
        </w:rPr>
        <w:t xml:space="preserve">To acquire the synchronization from target cell, </w:t>
      </w:r>
      <w:r>
        <w:rPr>
          <w:b w:val="0"/>
          <w:bCs/>
          <w:i w:val="0"/>
          <w:iCs w:val="0"/>
          <w:sz w:val="20"/>
          <w:szCs w:val="20"/>
          <w:u w:val="none"/>
          <w:lang w:eastAsia="ko-KR"/>
        </w:rPr>
        <w:t>K*</w:t>
      </w:r>
      <w:r>
        <w:rPr>
          <w:b w:val="0"/>
          <w:bCs/>
          <w:i w:val="0"/>
          <w:iCs w:val="0"/>
          <w:sz w:val="20"/>
          <w:szCs w:val="20"/>
          <w:u w:val="none"/>
        </w:rPr>
        <w:t>T</w:t>
      </w:r>
      <w:r>
        <w:rPr>
          <w:b w:val="0"/>
          <w:bCs/>
          <w:i w:val="0"/>
          <w:iCs w:val="0"/>
          <w:sz w:val="20"/>
          <w:szCs w:val="20"/>
          <w:u w:val="none"/>
          <w:vertAlign w:val="subscript"/>
        </w:rPr>
        <w:t>target_cell_SMTC_period</w:t>
      </w:r>
      <w:r>
        <w:rPr>
          <w:rFonts w:hint="eastAsia"/>
          <w:b w:val="0"/>
          <w:bCs/>
          <w:i w:val="0"/>
          <w:iCs w:val="0"/>
          <w:sz w:val="20"/>
          <w:szCs w:val="20"/>
          <w:u w:val="none"/>
          <w:vertAlign w:val="baseline"/>
          <w:lang w:val="en-US" w:eastAsia="zh-CN"/>
        </w:rPr>
        <w:t xml:space="preserve"> is needed. If the target cell is served by the same satellite as serving or GEO satellite or NR TN network, then K = 2, which is same as legacy. If the target cell is served by the </w:t>
      </w:r>
      <w:bookmarkStart w:id="10" w:name="OLE_LINK9"/>
      <w:r>
        <w:rPr>
          <w:rFonts w:hint="eastAsia"/>
          <w:b w:val="0"/>
          <w:bCs/>
          <w:i w:val="0"/>
          <w:iCs w:val="0"/>
          <w:sz w:val="20"/>
          <w:szCs w:val="20"/>
          <w:u w:val="none"/>
          <w:vertAlign w:val="baseline"/>
          <w:lang w:val="en-US" w:eastAsia="zh-CN"/>
        </w:rPr>
        <w:t>known Non-GEO satellite</w:t>
      </w:r>
      <w:bookmarkEnd w:id="10"/>
      <w:r>
        <w:rPr>
          <w:rFonts w:hint="eastAsia"/>
          <w:b w:val="0"/>
          <w:bCs/>
          <w:i w:val="0"/>
          <w:iCs w:val="0"/>
          <w:sz w:val="20"/>
          <w:szCs w:val="20"/>
          <w:u w:val="none"/>
          <w:vertAlign w:val="baseline"/>
          <w:lang w:val="en-US" w:eastAsia="zh-CN"/>
        </w:rPr>
        <w:t xml:space="preserve">, then K shall be extended to 5 with the </w:t>
      </w:r>
      <w:r>
        <w:rPr>
          <w:rFonts w:hint="eastAsia" w:ascii="Times New Roman" w:hAnsi="Times New Roman" w:eastAsia="宋体" w:cs="Times New Roman"/>
          <w:b w:val="0"/>
          <w:bCs/>
          <w:i w:val="0"/>
          <w:iCs w:val="0"/>
          <w:sz w:val="20"/>
          <w:szCs w:val="20"/>
          <w:u w:val="none"/>
          <w:lang w:val="en-US" w:eastAsia="zh-CN"/>
        </w:rPr>
        <w:t>consideration of more samples are needed for acquiring the sync with different doppler assumption</w:t>
      </w:r>
      <w:r>
        <w:rPr>
          <w:rFonts w:hint="eastAsia"/>
          <w:b w:val="0"/>
          <w:bCs/>
          <w:i w:val="0"/>
          <w:iCs w:val="0"/>
          <w:sz w:val="20"/>
          <w:szCs w:val="20"/>
          <w:u w:val="none"/>
          <w:vertAlign w:val="baseline"/>
          <w:lang w:val="en-US" w:eastAsia="zh-CN"/>
        </w:rPr>
        <w:t>. With above analysis, we can see that there is no relationship between K and SMTC period, and SMTC can be configured as 160ms even in earlier release.</w:t>
      </w:r>
    </w:p>
    <w:p w14:paraId="2BF06777">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However, when SMTC is 160ms, the sync time in paging interruption will reach 900ms, the motivation of further reducing it is reasonable. Therefore, We support to investigate some methods to reduce this paging interruption time, for example, in a new release, </w:t>
      </w:r>
      <w:bookmarkStart w:id="11" w:name="OLE_LINK10"/>
      <w:r>
        <w:rPr>
          <w:rFonts w:hint="eastAsia"/>
          <w:b w:val="0"/>
          <w:bCs/>
          <w:i w:val="0"/>
          <w:iCs w:val="0"/>
          <w:sz w:val="20"/>
          <w:szCs w:val="20"/>
          <w:u w:val="none"/>
          <w:vertAlign w:val="baseline"/>
          <w:lang w:val="en-US" w:eastAsia="zh-CN"/>
        </w:rPr>
        <w:t>whether UE can support smaller K in such scenario based on its capability</w:t>
      </w:r>
      <w:bookmarkEnd w:id="11"/>
      <w:r>
        <w:rPr>
          <w:rFonts w:hint="eastAsia"/>
          <w:b w:val="0"/>
          <w:bCs/>
          <w:i w:val="0"/>
          <w:iCs w:val="0"/>
          <w:sz w:val="20"/>
          <w:szCs w:val="20"/>
          <w:u w:val="none"/>
          <w:vertAlign w:val="baseline"/>
          <w:lang w:val="en-US" w:eastAsia="zh-CN"/>
        </w:rPr>
        <w:t>. Meanwhile, to be noted, such improvement is not necessary to be combined with SMTC periodicity.</w:t>
      </w:r>
    </w:p>
    <w:p w14:paraId="01C2EE25">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bCs/>
          <w:i/>
          <w:iCs/>
          <w:sz w:val="20"/>
          <w:szCs w:val="20"/>
          <w:lang w:val="en-US" w:eastAsia="zh-CN"/>
        </w:rPr>
      </w:pPr>
      <w:bookmarkStart w:id="12" w:name="OLE_LINK21"/>
      <w:r>
        <w:rPr>
          <w:rFonts w:hint="eastAsia"/>
          <w:b/>
          <w:bCs/>
          <w:i/>
          <w:iCs/>
          <w:sz w:val="20"/>
          <w:szCs w:val="20"/>
          <w:lang w:val="en-US" w:eastAsia="zh-CN"/>
        </w:rPr>
        <w:t>Observation 1: The paging interruption time will be longer than 1s when SMTC is configured as 160ms. This observation also valid for earlier release.</w:t>
      </w:r>
    </w:p>
    <w:p w14:paraId="316EF55F">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bookmarkStart w:id="13" w:name="OLE_LINK5"/>
      <w:r>
        <w:rPr>
          <w:rFonts w:hint="eastAsia"/>
          <w:b/>
          <w:bCs/>
          <w:i/>
          <w:iCs/>
          <w:sz w:val="20"/>
          <w:szCs w:val="20"/>
          <w:lang w:val="en-US" w:eastAsia="zh-CN"/>
        </w:rPr>
        <w:t>Proposal 2: In new release, further investigate whether UE can support smaller K in known Non-GEO target satellite scenario based on its capability.</w:t>
      </w:r>
    </w:p>
    <w:bookmarkEnd w:id="12"/>
    <w:bookmarkEnd w:id="13"/>
    <w:p w14:paraId="7D6FABE2">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none"/>
          <w:vertAlign w:val="baseline"/>
          <w:lang w:val="en-US" w:eastAsia="zh-CN"/>
        </w:rPr>
      </w:pPr>
    </w:p>
    <w:p w14:paraId="36C91148">
      <w:pPr>
        <w:keepNext w:val="0"/>
        <w:keepLines w:val="0"/>
        <w:pageBreakBefore w:val="0"/>
        <w:widowControl/>
        <w:kinsoku/>
        <w:wordWrap/>
        <w:overflowPunct/>
        <w:topLinePunct w:val="0"/>
        <w:autoSpaceDE/>
        <w:autoSpaceDN/>
        <w:bidi w:val="0"/>
        <w:adjustRightInd/>
        <w:snapToGrid/>
        <w:spacing w:before="60" w:after="60"/>
        <w:textAlignment w:val="auto"/>
        <w:outlineLvl w:val="1"/>
        <w:rPr>
          <w:b/>
          <w:bCs/>
          <w:i/>
          <w:iCs/>
          <w:sz w:val="20"/>
          <w:szCs w:val="20"/>
          <w:u w:val="single"/>
          <w:lang w:val="en-US" w:eastAsia="zh-CN"/>
        </w:rPr>
      </w:pPr>
      <w:r>
        <w:rPr>
          <w:b/>
          <w:i/>
          <w:iCs/>
          <w:sz w:val="20"/>
          <w:szCs w:val="20"/>
          <w:u w:val="single"/>
          <w:lang w:eastAsia="ko-KR"/>
        </w:rPr>
        <w:t xml:space="preserve">Issue 1-2-A: </w:t>
      </w:r>
      <w:r>
        <w:rPr>
          <w:b/>
          <w:bCs/>
          <w:i/>
          <w:iCs/>
          <w:sz w:val="20"/>
          <w:szCs w:val="20"/>
          <w:u w:val="single"/>
          <w:lang w:val="en-US" w:eastAsia="zh-CN"/>
        </w:rPr>
        <w:t>RRC Re-establishment (default T</w:t>
      </w:r>
      <w:r>
        <w:rPr>
          <w:b/>
          <w:bCs/>
          <w:i/>
          <w:iCs/>
          <w:sz w:val="20"/>
          <w:szCs w:val="20"/>
          <w:u w:val="single"/>
          <w:vertAlign w:val="subscript"/>
          <w:lang w:val="en-US" w:eastAsia="zh-CN"/>
        </w:rPr>
        <w:t>SMTC,i</w:t>
      </w:r>
      <w:r>
        <w:rPr>
          <w:b/>
          <w:bCs/>
          <w:i/>
          <w:iCs/>
          <w:sz w:val="20"/>
          <w:szCs w:val="20"/>
          <w:u w:val="single"/>
          <w:lang w:val="en-US" w:eastAsia="zh-CN"/>
        </w:rPr>
        <w:t>)</w:t>
      </w:r>
    </w:p>
    <w:p w14:paraId="42635C50">
      <w:pPr>
        <w:keepNext w:val="0"/>
        <w:keepLines w:val="0"/>
        <w:pageBreakBefore w:val="0"/>
        <w:widowControl/>
        <w:kinsoku/>
        <w:wordWrap/>
        <w:overflowPunct/>
        <w:topLinePunct w:val="0"/>
        <w:autoSpaceDE/>
        <w:autoSpaceDN/>
        <w:bidi w:val="0"/>
        <w:adjustRightInd/>
        <w:snapToGrid/>
        <w:spacing w:before="60" w:after="60" w:line="252" w:lineRule="auto"/>
        <w:textAlignment w:val="auto"/>
        <w:rPr>
          <w:rFonts w:eastAsia="Malgun Gothic"/>
          <w:b/>
          <w:bCs/>
          <w:i/>
          <w:iCs/>
          <w:sz w:val="20"/>
          <w:szCs w:val="20"/>
          <w:lang w:eastAsia="ko-KR"/>
        </w:rPr>
      </w:pPr>
      <w:r>
        <w:rPr>
          <w:rFonts w:eastAsia="Malgun Gothic"/>
          <w:b/>
          <w:bCs/>
          <w:i/>
          <w:iCs/>
          <w:sz w:val="20"/>
          <w:szCs w:val="20"/>
          <w:highlight w:val="green"/>
          <w:lang w:eastAsia="ko-KR"/>
        </w:rPr>
        <w:t>Agreement (online):</w:t>
      </w:r>
    </w:p>
    <w:p w14:paraId="49BE555B">
      <w:pPr>
        <w:pStyle w:val="75"/>
        <w:keepNext w:val="0"/>
        <w:keepLines w:val="0"/>
        <w:pageBreakBefore w:val="0"/>
        <w:widowControl/>
        <w:numPr>
          <w:ilvl w:val="0"/>
          <w:numId w:val="7"/>
        </w:numPr>
        <w:kinsoku/>
        <w:wordWrap/>
        <w:overflowPunct/>
        <w:topLinePunct w:val="0"/>
        <w:autoSpaceDE/>
        <w:autoSpaceDN/>
        <w:bidi w:val="0"/>
        <w:adjustRightInd/>
        <w:snapToGrid/>
        <w:spacing w:before="60" w:after="60"/>
        <w:ind w:left="360" w:firstLineChars="0"/>
        <w:textAlignment w:val="auto"/>
        <w:rPr>
          <w:rFonts w:ascii="Times New Roman" w:hAnsi="Times New Roman" w:eastAsia="Times New Roman"/>
          <w:i/>
          <w:iCs/>
          <w:sz w:val="20"/>
          <w:szCs w:val="20"/>
          <w:lang w:eastAsia="ja-JP"/>
        </w:rPr>
      </w:pPr>
      <w:r>
        <w:rPr>
          <w:rFonts w:ascii="Times New Roman" w:hAnsi="Times New Roman" w:eastAsia="Times New Roman"/>
          <w:i/>
          <w:iCs/>
          <w:sz w:val="20"/>
          <w:szCs w:val="20"/>
          <w:lang w:eastAsia="ja-JP"/>
        </w:rPr>
        <w:t>In RRC re-establishment requirements, update is needed to the T</w:t>
      </w:r>
      <w:r>
        <w:rPr>
          <w:rFonts w:ascii="Times New Roman" w:hAnsi="Times New Roman" w:eastAsia="Times New Roman"/>
          <w:i/>
          <w:iCs/>
          <w:sz w:val="20"/>
          <w:szCs w:val="20"/>
          <w:vertAlign w:val="subscript"/>
          <w:lang w:eastAsia="ja-JP"/>
        </w:rPr>
        <w:t>SMTC,i</w:t>
      </w:r>
      <w:r>
        <w:rPr>
          <w:rFonts w:ascii="Times New Roman" w:hAnsi="Times New Roman" w:eastAsia="Times New Roman"/>
          <w:i/>
          <w:iCs/>
          <w:sz w:val="20"/>
          <w:szCs w:val="20"/>
          <w:lang w:eastAsia="ja-JP"/>
        </w:rPr>
        <w:t xml:space="preserve"> value for case where the SMTC for the inter-frequency carrier is not provided.</w:t>
      </w:r>
    </w:p>
    <w:p w14:paraId="22F8DCE6">
      <w:pPr>
        <w:keepNext w:val="0"/>
        <w:keepLines w:val="0"/>
        <w:pageBreakBefore w:val="0"/>
        <w:widowControl/>
        <w:kinsoku/>
        <w:wordWrap/>
        <w:overflowPunct/>
        <w:topLinePunct w:val="0"/>
        <w:autoSpaceDE/>
        <w:autoSpaceDN/>
        <w:bidi w:val="0"/>
        <w:adjustRightInd/>
        <w:snapToGrid/>
        <w:spacing w:before="60" w:after="60" w:line="252" w:lineRule="auto"/>
        <w:textAlignment w:val="auto"/>
        <w:rPr>
          <w:rFonts w:eastAsia="Malgun Gothic"/>
          <w:b/>
          <w:bCs/>
          <w:i/>
          <w:iCs/>
          <w:sz w:val="20"/>
          <w:szCs w:val="20"/>
          <w:lang w:eastAsia="ko-KR"/>
        </w:rPr>
      </w:pPr>
      <w:bookmarkStart w:id="14" w:name="OLE_LINK4"/>
      <w:r>
        <w:rPr>
          <w:rFonts w:eastAsia="Malgun Gothic"/>
          <w:b/>
          <w:bCs/>
          <w:i/>
          <w:iCs/>
          <w:sz w:val="20"/>
          <w:szCs w:val="20"/>
          <w:highlight w:val="yellow"/>
          <w:lang w:eastAsia="ko-KR"/>
        </w:rPr>
        <w:t>Further discussion:</w:t>
      </w:r>
    </w:p>
    <w:p w14:paraId="0190C87D">
      <w:pPr>
        <w:pStyle w:val="75"/>
        <w:keepNext w:val="0"/>
        <w:keepLines w:val="0"/>
        <w:pageBreakBefore w:val="0"/>
        <w:widowControl/>
        <w:numPr>
          <w:ilvl w:val="0"/>
          <w:numId w:val="7"/>
        </w:numPr>
        <w:kinsoku/>
        <w:wordWrap/>
        <w:overflowPunct/>
        <w:topLinePunct w:val="0"/>
        <w:autoSpaceDE/>
        <w:autoSpaceDN/>
        <w:bidi w:val="0"/>
        <w:adjustRightInd/>
        <w:snapToGrid/>
        <w:spacing w:before="60" w:after="60"/>
        <w:ind w:left="360" w:firstLineChars="0"/>
        <w:textAlignment w:val="auto"/>
        <w:rPr>
          <w:rFonts w:ascii="Times New Roman" w:hAnsi="Times New Roman" w:eastAsia="Times New Roman"/>
          <w:i/>
          <w:iCs/>
          <w:sz w:val="20"/>
          <w:szCs w:val="20"/>
          <w:lang w:eastAsia="ja-JP"/>
        </w:rPr>
      </w:pPr>
      <w:r>
        <w:rPr>
          <w:rFonts w:ascii="Times New Roman" w:hAnsi="Times New Roman" w:eastAsia="Times New Roman"/>
          <w:i/>
          <w:iCs/>
          <w:sz w:val="20"/>
          <w:szCs w:val="20"/>
          <w:lang w:eastAsia="ja-JP"/>
        </w:rPr>
        <w:t>In RRC re-establishment requirements, update the value of T</w:t>
      </w:r>
      <w:r>
        <w:rPr>
          <w:rFonts w:ascii="Times New Roman" w:hAnsi="Times New Roman" w:eastAsia="Times New Roman"/>
          <w:i/>
          <w:iCs/>
          <w:sz w:val="20"/>
          <w:szCs w:val="20"/>
          <w:vertAlign w:val="subscript"/>
          <w:lang w:eastAsia="ja-JP"/>
        </w:rPr>
        <w:t>SMTC,i</w:t>
      </w:r>
      <w:r>
        <w:rPr>
          <w:rFonts w:ascii="Times New Roman" w:hAnsi="Times New Roman" w:eastAsia="Times New Roman"/>
          <w:i/>
          <w:iCs/>
          <w:sz w:val="20"/>
          <w:szCs w:val="20"/>
          <w:lang w:eastAsia="ja-JP"/>
        </w:rPr>
        <w:t xml:space="preserve"> to 160ms</w:t>
      </w:r>
      <w:bookmarkStart w:id="15" w:name="OLE_LINK11"/>
      <w:r>
        <w:rPr>
          <w:rFonts w:ascii="Times New Roman" w:hAnsi="Times New Roman" w:eastAsia="Times New Roman"/>
          <w:i/>
          <w:iCs/>
          <w:sz w:val="20"/>
          <w:szCs w:val="20"/>
          <w:lang w:eastAsia="ja-JP"/>
        </w:rPr>
        <w:t xml:space="preserve"> for case where the SMTC for the inter-frequency carrier is not provided</w:t>
      </w:r>
      <w:bookmarkEnd w:id="15"/>
      <w:r>
        <w:rPr>
          <w:rFonts w:ascii="Times New Roman" w:hAnsi="Times New Roman" w:eastAsia="Times New Roman"/>
          <w:i/>
          <w:iCs/>
          <w:sz w:val="20"/>
          <w:szCs w:val="20"/>
          <w:lang w:eastAsia="ja-JP"/>
        </w:rPr>
        <w:t>.</w:t>
      </w:r>
    </w:p>
    <w:p w14:paraId="30E8AC5B">
      <w:pPr>
        <w:pStyle w:val="75"/>
        <w:keepNext w:val="0"/>
        <w:keepLines w:val="0"/>
        <w:pageBreakBefore w:val="0"/>
        <w:widowControl/>
        <w:numPr>
          <w:ilvl w:val="1"/>
          <w:numId w:val="7"/>
        </w:numPr>
        <w:kinsoku/>
        <w:wordWrap/>
        <w:overflowPunct/>
        <w:topLinePunct w:val="0"/>
        <w:autoSpaceDE/>
        <w:autoSpaceDN/>
        <w:bidi w:val="0"/>
        <w:adjustRightInd/>
        <w:snapToGrid/>
        <w:spacing w:before="60" w:after="60"/>
        <w:ind w:left="780" w:leftChars="0" w:firstLineChars="0"/>
        <w:textAlignment w:val="auto"/>
        <w:rPr>
          <w:rFonts w:ascii="Times New Roman" w:hAnsi="Times New Roman" w:eastAsia="Times New Roman"/>
          <w:i/>
          <w:iCs/>
          <w:sz w:val="20"/>
          <w:szCs w:val="20"/>
          <w:lang w:eastAsia="ja-JP"/>
        </w:rPr>
      </w:pPr>
      <w:r>
        <w:rPr>
          <w:rFonts w:ascii="Times New Roman" w:hAnsi="Times New Roman" w:eastAsia="Times New Roman"/>
          <w:i/>
          <w:iCs/>
          <w:sz w:val="20"/>
          <w:szCs w:val="20"/>
          <w:lang w:eastAsia="ja-JP"/>
        </w:rPr>
        <w:t>FFS: whether the above will apply only for UEs capable of coverage enhancement feature, if such a UE capability is defined.</w:t>
      </w:r>
    </w:p>
    <w:p w14:paraId="444BC48D">
      <w:pPr>
        <w:pStyle w:val="75"/>
        <w:keepNext w:val="0"/>
        <w:keepLines w:val="0"/>
        <w:pageBreakBefore w:val="0"/>
        <w:widowControl/>
        <w:numPr>
          <w:ilvl w:val="1"/>
          <w:numId w:val="7"/>
        </w:numPr>
        <w:kinsoku/>
        <w:wordWrap/>
        <w:overflowPunct/>
        <w:topLinePunct w:val="0"/>
        <w:autoSpaceDE/>
        <w:autoSpaceDN/>
        <w:bidi w:val="0"/>
        <w:adjustRightInd/>
        <w:snapToGrid/>
        <w:spacing w:before="60" w:after="60"/>
        <w:ind w:left="780" w:leftChars="0" w:firstLineChars="0"/>
        <w:textAlignment w:val="auto"/>
        <w:rPr>
          <w:rFonts w:ascii="Times New Roman" w:hAnsi="Times New Roman" w:eastAsia="Times New Roman"/>
          <w:i/>
          <w:iCs/>
          <w:sz w:val="20"/>
          <w:szCs w:val="20"/>
          <w:lang w:eastAsia="ja-JP"/>
        </w:rPr>
      </w:pPr>
      <w:r>
        <w:rPr>
          <w:rFonts w:ascii="Times New Roman" w:hAnsi="Times New Roman" w:eastAsia="Times New Roman"/>
          <w:i/>
          <w:iCs/>
          <w:sz w:val="20"/>
          <w:szCs w:val="20"/>
          <w:lang w:eastAsia="ja-JP"/>
        </w:rPr>
        <w:t>FFS: whether the above is for only inter-frequency or for both intra-frequency and inter-frequency</w:t>
      </w:r>
    </w:p>
    <w:bookmarkEnd w:id="14"/>
    <w:p w14:paraId="2D692389">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ascii="Times New Roman" w:hAnsi="Times New Roman" w:cs="Times New Roman"/>
          <w:b w:val="0"/>
          <w:bCs/>
          <w:i w:val="0"/>
          <w:iCs w:val="0"/>
          <w:sz w:val="20"/>
          <w:szCs w:val="20"/>
          <w:u w:val="none"/>
          <w:vertAlign w:val="baseline"/>
          <w:lang w:val="en-US" w:eastAsia="zh-CN"/>
        </w:rPr>
      </w:pPr>
      <w:r>
        <w:rPr>
          <w:rFonts w:hint="eastAsia" w:ascii="Times New Roman" w:hAnsi="Times New Roman" w:cs="Times New Roman"/>
          <w:b w:val="0"/>
          <w:bCs/>
          <w:i w:val="0"/>
          <w:iCs w:val="0"/>
          <w:sz w:val="20"/>
          <w:szCs w:val="20"/>
          <w:u w:val="none"/>
          <w:vertAlign w:val="baseline"/>
          <w:lang w:val="en-US" w:eastAsia="zh-CN"/>
        </w:rPr>
        <w:t>Firstly, we think the default value shall only be applicable for UE capable of coverage enhancement feature. Due to such UE capability has not be discussed and defined in RAN1, we can wait for more input from RAN1.</w:t>
      </w:r>
    </w:p>
    <w:p w14:paraId="45715D84">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ascii="Times New Roman" w:hAnsi="Times New Roman" w:cs="Times New Roman"/>
          <w:b w:val="0"/>
          <w:bCs/>
          <w:i w:val="0"/>
          <w:iCs w:val="0"/>
          <w:sz w:val="20"/>
          <w:szCs w:val="20"/>
          <w:u w:val="none"/>
          <w:vertAlign w:val="baseline"/>
          <w:lang w:val="en-US" w:eastAsia="zh-CN"/>
        </w:rPr>
      </w:pPr>
      <w:r>
        <w:rPr>
          <w:rFonts w:hint="eastAsia" w:ascii="Times New Roman" w:hAnsi="Times New Roman" w:cs="Times New Roman"/>
          <w:b w:val="0"/>
          <w:bCs/>
          <w:i w:val="0"/>
          <w:iCs w:val="0"/>
          <w:sz w:val="20"/>
          <w:szCs w:val="20"/>
          <w:u w:val="none"/>
          <w:vertAlign w:val="baseline"/>
          <w:lang w:val="en-US" w:eastAsia="zh-CN"/>
        </w:rPr>
        <w:t>Secondly, considering the T</w:t>
      </w:r>
      <w:r>
        <w:rPr>
          <w:rFonts w:hint="eastAsia" w:ascii="Times New Roman" w:hAnsi="Times New Roman" w:cs="Times New Roman"/>
          <w:b w:val="0"/>
          <w:bCs/>
          <w:i w:val="0"/>
          <w:iCs w:val="0"/>
          <w:sz w:val="20"/>
          <w:szCs w:val="20"/>
          <w:u w:val="none"/>
          <w:vertAlign w:val="subscript"/>
          <w:lang w:val="en-US" w:eastAsia="zh-CN"/>
        </w:rPr>
        <w:t>SMTC</w:t>
      </w:r>
      <w:r>
        <w:rPr>
          <w:rFonts w:hint="eastAsia" w:ascii="Times New Roman" w:hAnsi="Times New Roman" w:cs="Times New Roman"/>
          <w:b w:val="0"/>
          <w:bCs/>
          <w:i w:val="0"/>
          <w:iCs w:val="0"/>
          <w:sz w:val="20"/>
          <w:szCs w:val="20"/>
          <w:u w:val="none"/>
          <w:vertAlign w:val="baseline"/>
          <w:lang w:val="en-US" w:eastAsia="zh-CN"/>
        </w:rPr>
        <w:t xml:space="preserve"> will always be configured for intra-frequency measurement by serving cell MO.  Therefore, the above is for only inter-frequency case.</w:t>
      </w:r>
    </w:p>
    <w:p w14:paraId="3EA741A8">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ascii="Times New Roman" w:hAnsi="Times New Roman" w:eastAsia="宋体"/>
          <w:i/>
          <w:iCs/>
          <w:sz w:val="20"/>
          <w:szCs w:val="20"/>
          <w:lang w:val="en-US" w:eastAsia="zh-CN"/>
        </w:rPr>
      </w:pPr>
      <w:bookmarkStart w:id="16" w:name="OLE_LINK12"/>
      <w:r>
        <w:rPr>
          <w:rFonts w:hint="eastAsia"/>
          <w:b/>
          <w:bCs/>
          <w:i/>
          <w:iCs/>
          <w:sz w:val="20"/>
          <w:szCs w:val="20"/>
          <w:lang w:val="en-US" w:eastAsia="zh-CN"/>
        </w:rPr>
        <w:t xml:space="preserve">Proposal 3: </w:t>
      </w:r>
      <w:bookmarkStart w:id="17" w:name="OLE_LINK14"/>
      <w:r>
        <w:rPr>
          <w:rFonts w:hint="eastAsia"/>
          <w:b/>
          <w:bCs/>
          <w:i/>
          <w:iCs/>
          <w:sz w:val="20"/>
          <w:szCs w:val="20"/>
          <w:lang w:val="en-US" w:eastAsia="zh-CN"/>
        </w:rPr>
        <w:t xml:space="preserve">The updated default value of </w:t>
      </w:r>
      <w:r>
        <w:rPr>
          <w:rFonts w:ascii="Times New Roman" w:hAnsi="Times New Roman" w:eastAsia="Times New Roman"/>
          <w:b/>
          <w:bCs/>
          <w:i/>
          <w:iCs/>
          <w:sz w:val="20"/>
          <w:szCs w:val="20"/>
          <w:lang w:eastAsia="ja-JP"/>
        </w:rPr>
        <w:t>T</w:t>
      </w:r>
      <w:r>
        <w:rPr>
          <w:rFonts w:ascii="Times New Roman" w:hAnsi="Times New Roman" w:eastAsia="Times New Roman"/>
          <w:b/>
          <w:bCs/>
          <w:i/>
          <w:iCs/>
          <w:sz w:val="20"/>
          <w:szCs w:val="20"/>
          <w:vertAlign w:val="subscript"/>
          <w:lang w:eastAsia="ja-JP"/>
        </w:rPr>
        <w:t>SMTC,i</w:t>
      </w:r>
      <w:r>
        <w:rPr>
          <w:rFonts w:ascii="Times New Roman" w:hAnsi="Times New Roman" w:eastAsia="Times New Roman"/>
          <w:b/>
          <w:bCs/>
          <w:i/>
          <w:iCs/>
          <w:sz w:val="20"/>
          <w:szCs w:val="20"/>
          <w:lang w:eastAsia="ja-JP"/>
        </w:rPr>
        <w:t xml:space="preserve"> </w:t>
      </w:r>
      <w:r>
        <w:rPr>
          <w:rFonts w:hint="eastAsia"/>
          <w:b/>
          <w:bCs/>
          <w:i/>
          <w:iCs/>
          <w:sz w:val="20"/>
          <w:szCs w:val="20"/>
          <w:lang w:val="en-US" w:eastAsia="zh-CN"/>
        </w:rPr>
        <w:t>will be applied only for</w:t>
      </w:r>
      <w:bookmarkEnd w:id="17"/>
      <w:r>
        <w:rPr>
          <w:rFonts w:hint="eastAsia"/>
          <w:b/>
          <w:bCs/>
          <w:i/>
          <w:iCs/>
          <w:sz w:val="20"/>
          <w:szCs w:val="20"/>
          <w:lang w:val="en-US" w:eastAsia="zh-CN"/>
        </w:rPr>
        <w:t xml:space="preserve"> UEs capable of coverage enhancement feature, the specific UE feature can wait for more input from RAN1.</w:t>
      </w:r>
    </w:p>
    <w:p w14:paraId="34C6503B">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ascii="Times New Roman" w:hAnsi="Times New Roman" w:eastAsia="宋体"/>
          <w:b/>
          <w:bCs/>
          <w:i/>
          <w:iCs/>
          <w:sz w:val="20"/>
          <w:szCs w:val="20"/>
          <w:lang w:val="en-US" w:eastAsia="zh-CN"/>
        </w:rPr>
      </w:pPr>
      <w:bookmarkStart w:id="18" w:name="OLE_LINK19"/>
      <w:r>
        <w:rPr>
          <w:rFonts w:hint="eastAsia"/>
          <w:b/>
          <w:bCs/>
          <w:i/>
          <w:iCs/>
          <w:sz w:val="20"/>
          <w:szCs w:val="20"/>
          <w:lang w:val="en-US" w:eastAsia="zh-CN"/>
        </w:rPr>
        <w:t xml:space="preserve">Proposal 4: In </w:t>
      </w:r>
      <w:r>
        <w:rPr>
          <w:rFonts w:ascii="Times New Roman" w:hAnsi="Times New Roman" w:eastAsia="Times New Roman"/>
          <w:b/>
          <w:bCs/>
          <w:i/>
          <w:iCs/>
          <w:sz w:val="20"/>
          <w:szCs w:val="20"/>
          <w:lang w:eastAsia="ja-JP"/>
        </w:rPr>
        <w:t xml:space="preserve">RRC re-establishment requirements, update the value of </w:t>
      </w:r>
      <w:bookmarkStart w:id="19" w:name="OLE_LINK13"/>
      <w:r>
        <w:rPr>
          <w:rFonts w:ascii="Times New Roman" w:hAnsi="Times New Roman" w:eastAsia="Times New Roman"/>
          <w:b/>
          <w:bCs/>
          <w:i/>
          <w:iCs/>
          <w:sz w:val="20"/>
          <w:szCs w:val="20"/>
          <w:lang w:eastAsia="ja-JP"/>
        </w:rPr>
        <w:t>T</w:t>
      </w:r>
      <w:r>
        <w:rPr>
          <w:rFonts w:ascii="Times New Roman" w:hAnsi="Times New Roman" w:eastAsia="Times New Roman"/>
          <w:b/>
          <w:bCs/>
          <w:i/>
          <w:iCs/>
          <w:sz w:val="20"/>
          <w:szCs w:val="20"/>
          <w:vertAlign w:val="subscript"/>
          <w:lang w:eastAsia="ja-JP"/>
        </w:rPr>
        <w:t>SMTC,i</w:t>
      </w:r>
      <w:r>
        <w:rPr>
          <w:rFonts w:ascii="Times New Roman" w:hAnsi="Times New Roman" w:eastAsia="Times New Roman"/>
          <w:b/>
          <w:bCs/>
          <w:i/>
          <w:iCs/>
          <w:sz w:val="20"/>
          <w:szCs w:val="20"/>
          <w:lang w:eastAsia="ja-JP"/>
        </w:rPr>
        <w:t xml:space="preserve"> </w:t>
      </w:r>
      <w:bookmarkEnd w:id="19"/>
      <w:r>
        <w:rPr>
          <w:rFonts w:ascii="Times New Roman" w:hAnsi="Times New Roman" w:eastAsia="Times New Roman"/>
          <w:b/>
          <w:bCs/>
          <w:i/>
          <w:iCs/>
          <w:sz w:val="20"/>
          <w:szCs w:val="20"/>
          <w:lang w:eastAsia="ja-JP"/>
        </w:rPr>
        <w:t>to 160ms</w:t>
      </w:r>
      <w:r>
        <w:rPr>
          <w:rFonts w:hint="eastAsia" w:ascii="Times New Roman" w:hAnsi="Times New Roman" w:eastAsia="宋体"/>
          <w:b/>
          <w:bCs/>
          <w:i/>
          <w:iCs/>
          <w:sz w:val="20"/>
          <w:szCs w:val="20"/>
          <w:lang w:val="en-US" w:eastAsia="zh-CN"/>
        </w:rPr>
        <w:t xml:space="preserve"> only</w:t>
      </w:r>
      <w:r>
        <w:rPr>
          <w:rFonts w:ascii="Times New Roman" w:hAnsi="Times New Roman" w:eastAsia="Times New Roman"/>
          <w:b/>
          <w:bCs/>
          <w:i/>
          <w:iCs/>
          <w:sz w:val="20"/>
          <w:szCs w:val="20"/>
          <w:lang w:eastAsia="ja-JP"/>
        </w:rPr>
        <w:t xml:space="preserve"> for case where the SMTC for the inter-frequency carrier is not provided</w:t>
      </w:r>
      <w:r>
        <w:rPr>
          <w:rFonts w:hint="eastAsia" w:ascii="Times New Roman" w:hAnsi="Times New Roman" w:eastAsia="宋体"/>
          <w:b/>
          <w:bCs/>
          <w:i/>
          <w:iCs/>
          <w:sz w:val="20"/>
          <w:szCs w:val="20"/>
          <w:lang w:val="en-US" w:eastAsia="zh-CN"/>
        </w:rPr>
        <w:t>.</w:t>
      </w:r>
    </w:p>
    <w:bookmarkEnd w:id="16"/>
    <w:bookmarkEnd w:id="18"/>
    <w:p w14:paraId="28583500">
      <w:pPr>
        <w:keepNext w:val="0"/>
        <w:keepLines w:val="0"/>
        <w:pageBreakBefore w:val="0"/>
        <w:widowControl/>
        <w:kinsoku/>
        <w:wordWrap/>
        <w:overflowPunct/>
        <w:topLinePunct w:val="0"/>
        <w:autoSpaceDE/>
        <w:autoSpaceDN/>
        <w:bidi w:val="0"/>
        <w:adjustRightInd/>
        <w:snapToGrid/>
        <w:spacing w:after="60" w:line="240" w:lineRule="auto"/>
        <w:textAlignment w:val="auto"/>
        <w:outlineLvl w:val="2"/>
        <w:rPr>
          <w:rFonts w:eastAsia="宋体"/>
          <w:b/>
          <w:i w:val="0"/>
          <w:iCs w:val="0"/>
          <w:sz w:val="20"/>
          <w:szCs w:val="20"/>
          <w:u w:val="single"/>
          <w:lang w:val="en-GB" w:eastAsia="ko-KR"/>
        </w:rPr>
      </w:pPr>
    </w:p>
    <w:p w14:paraId="2EC3DBE1">
      <w:pPr>
        <w:keepNext w:val="0"/>
        <w:keepLines w:val="0"/>
        <w:pageBreakBefore w:val="0"/>
        <w:widowControl/>
        <w:kinsoku/>
        <w:wordWrap/>
        <w:overflowPunct/>
        <w:topLinePunct w:val="0"/>
        <w:autoSpaceDE/>
        <w:autoSpaceDN/>
        <w:bidi w:val="0"/>
        <w:adjustRightInd/>
        <w:spacing w:before="60" w:after="60"/>
        <w:textAlignment w:val="auto"/>
        <w:outlineLvl w:val="1"/>
        <w:rPr>
          <w:b/>
          <w:bCs/>
          <w:i/>
          <w:iCs/>
          <w:sz w:val="20"/>
          <w:szCs w:val="20"/>
          <w:u w:val="single"/>
          <w:lang w:val="en-US" w:eastAsia="zh-CN"/>
        </w:rPr>
      </w:pPr>
      <w:r>
        <w:rPr>
          <w:b/>
          <w:i/>
          <w:iCs/>
          <w:sz w:val="20"/>
          <w:szCs w:val="20"/>
          <w:u w:val="single"/>
          <w:lang w:eastAsia="ko-KR"/>
        </w:rPr>
        <w:t xml:space="preserve">Issue 1-2-B: </w:t>
      </w:r>
      <w:r>
        <w:rPr>
          <w:b/>
          <w:bCs/>
          <w:i/>
          <w:iCs/>
          <w:sz w:val="20"/>
          <w:szCs w:val="20"/>
          <w:u w:val="single"/>
          <w:lang w:val="en-US" w:eastAsia="zh-CN"/>
        </w:rPr>
        <w:t>RRC Re-establishment (</w:t>
      </w:r>
      <w:r>
        <w:rPr>
          <w:b/>
          <w:bCs/>
          <w:i/>
          <w:iCs/>
          <w:sz w:val="20"/>
          <w:szCs w:val="20"/>
          <w:u w:val="single"/>
          <w:lang w:eastAsia="zh-CN"/>
        </w:rPr>
        <w:t xml:space="preserve">SSB </w:t>
      </w:r>
      <w:bookmarkStart w:id="20" w:name="OLE_LINK18"/>
      <w:r>
        <w:rPr>
          <w:b/>
          <w:bCs/>
          <w:i/>
          <w:iCs/>
          <w:sz w:val="20"/>
          <w:szCs w:val="20"/>
          <w:u w:val="single"/>
          <w:lang w:eastAsia="zh-CN"/>
        </w:rPr>
        <w:t>Ês/Iot &lt; -8dB</w:t>
      </w:r>
      <w:bookmarkEnd w:id="20"/>
      <w:r>
        <w:rPr>
          <w:b/>
          <w:bCs/>
          <w:i/>
          <w:iCs/>
          <w:sz w:val="20"/>
          <w:szCs w:val="20"/>
          <w:u w:val="single"/>
          <w:lang w:eastAsia="zh-CN"/>
        </w:rPr>
        <w:t xml:space="preserve"> and SSB periodicity &gt;20 ms</w:t>
      </w:r>
      <w:r>
        <w:rPr>
          <w:b/>
          <w:bCs/>
          <w:i/>
          <w:iCs/>
          <w:sz w:val="20"/>
          <w:szCs w:val="20"/>
          <w:u w:val="single"/>
          <w:lang w:val="en-US" w:eastAsia="zh-CN"/>
        </w:rPr>
        <w:t>)</w:t>
      </w:r>
    </w:p>
    <w:p w14:paraId="48AD2984">
      <w:pPr>
        <w:keepNext w:val="0"/>
        <w:keepLines w:val="0"/>
        <w:pageBreakBefore w:val="0"/>
        <w:widowControl/>
        <w:kinsoku/>
        <w:wordWrap/>
        <w:overflowPunct/>
        <w:topLinePunct w:val="0"/>
        <w:autoSpaceDE/>
        <w:autoSpaceDN/>
        <w:bidi w:val="0"/>
        <w:adjustRightInd/>
        <w:spacing w:before="60" w:after="60" w:line="252" w:lineRule="auto"/>
        <w:textAlignment w:val="auto"/>
        <w:rPr>
          <w:rFonts w:eastAsia="Malgun Gothic"/>
          <w:b/>
          <w:bCs/>
          <w:i/>
          <w:iCs/>
          <w:sz w:val="20"/>
          <w:szCs w:val="20"/>
          <w:lang w:eastAsia="ko-KR"/>
        </w:rPr>
      </w:pPr>
      <w:r>
        <w:rPr>
          <w:rFonts w:eastAsia="Malgun Gothic"/>
          <w:b/>
          <w:bCs/>
          <w:i/>
          <w:iCs/>
          <w:sz w:val="20"/>
          <w:szCs w:val="20"/>
          <w:highlight w:val="yellow"/>
          <w:lang w:eastAsia="ko-KR"/>
        </w:rPr>
        <w:t>Further discussion:</w:t>
      </w:r>
    </w:p>
    <w:p w14:paraId="2F22B701">
      <w:pPr>
        <w:pStyle w:val="75"/>
        <w:keepNext w:val="0"/>
        <w:keepLines w:val="0"/>
        <w:pageBreakBefore w:val="0"/>
        <w:widowControl/>
        <w:numPr>
          <w:ilvl w:val="0"/>
          <w:numId w:val="7"/>
        </w:numPr>
        <w:kinsoku/>
        <w:wordWrap/>
        <w:overflowPunct/>
        <w:topLinePunct w:val="0"/>
        <w:autoSpaceDE/>
        <w:autoSpaceDN/>
        <w:bidi w:val="0"/>
        <w:adjustRightInd/>
        <w:snapToGrid/>
        <w:spacing w:before="60" w:after="60"/>
        <w:ind w:left="360" w:firstLineChars="0"/>
        <w:textAlignment w:val="auto"/>
        <w:rPr>
          <w:i/>
          <w:iCs/>
          <w:sz w:val="20"/>
          <w:szCs w:val="20"/>
          <w:lang w:eastAsia="ja-JP"/>
        </w:rPr>
      </w:pPr>
      <w:r>
        <w:rPr>
          <w:i/>
          <w:iCs/>
          <w:sz w:val="20"/>
          <w:szCs w:val="20"/>
          <w:lang w:eastAsia="ja-JP"/>
        </w:rPr>
        <w:t>In RRC re-establishment requirements, discuss whether any update is needed to the T</w:t>
      </w:r>
      <w:r>
        <w:rPr>
          <w:i/>
          <w:iCs/>
          <w:sz w:val="20"/>
          <w:szCs w:val="20"/>
          <w:vertAlign w:val="subscript"/>
          <w:lang w:eastAsia="ja-JP"/>
        </w:rPr>
        <w:t>SMTC,i</w:t>
      </w:r>
      <w:r>
        <w:rPr>
          <w:i/>
          <w:iCs/>
          <w:sz w:val="20"/>
          <w:szCs w:val="20"/>
          <w:lang w:eastAsia="ja-JP"/>
        </w:rPr>
        <w:t xml:space="preserve"> value </w:t>
      </w:r>
      <w:r>
        <w:rPr>
          <w:b/>
          <w:bCs/>
          <w:i/>
          <w:iCs/>
          <w:sz w:val="20"/>
          <w:szCs w:val="20"/>
          <w:u w:val="single"/>
          <w:lang w:eastAsia="ja-JP"/>
        </w:rPr>
        <w:t>for case where the SMTC for the inter-frequency carrier is not provided</w:t>
      </w:r>
      <w:r>
        <w:rPr>
          <w:i/>
          <w:iCs/>
          <w:sz w:val="20"/>
          <w:szCs w:val="20"/>
          <w:lang w:eastAsia="ja-JP"/>
        </w:rPr>
        <w:t>:</w:t>
      </w:r>
    </w:p>
    <w:p w14:paraId="61D37642">
      <w:pPr>
        <w:pStyle w:val="75"/>
        <w:keepNext w:val="0"/>
        <w:keepLines w:val="0"/>
        <w:pageBreakBefore w:val="0"/>
        <w:widowControl/>
        <w:numPr>
          <w:ilvl w:val="1"/>
          <w:numId w:val="7"/>
        </w:numPr>
        <w:kinsoku/>
        <w:wordWrap/>
        <w:overflowPunct/>
        <w:topLinePunct w:val="0"/>
        <w:autoSpaceDE/>
        <w:autoSpaceDN/>
        <w:bidi w:val="0"/>
        <w:adjustRightInd/>
        <w:snapToGrid/>
        <w:spacing w:before="60" w:after="60"/>
        <w:ind w:left="780" w:leftChars="0" w:firstLineChars="0"/>
        <w:textAlignment w:val="auto"/>
        <w:rPr>
          <w:i/>
          <w:iCs/>
          <w:sz w:val="20"/>
          <w:szCs w:val="20"/>
          <w:lang w:eastAsia="ja-JP"/>
        </w:rPr>
      </w:pPr>
      <w:r>
        <w:rPr>
          <w:i/>
          <w:iCs/>
          <w:sz w:val="20"/>
          <w:szCs w:val="20"/>
          <w:lang w:eastAsia="ja-JP"/>
        </w:rPr>
        <w:t>Option 1: Yes, an update is needed</w:t>
      </w:r>
    </w:p>
    <w:p w14:paraId="086C9F9A">
      <w:pPr>
        <w:pStyle w:val="75"/>
        <w:keepNext w:val="0"/>
        <w:keepLines w:val="0"/>
        <w:pageBreakBefore w:val="0"/>
        <w:widowControl/>
        <w:numPr>
          <w:ilvl w:val="2"/>
          <w:numId w:val="7"/>
        </w:numPr>
        <w:kinsoku/>
        <w:wordWrap/>
        <w:overflowPunct/>
        <w:topLinePunct w:val="0"/>
        <w:autoSpaceDE/>
        <w:autoSpaceDN/>
        <w:bidi w:val="0"/>
        <w:adjustRightInd/>
        <w:snapToGrid/>
        <w:spacing w:before="60" w:after="60"/>
        <w:ind w:left="1200" w:leftChars="0" w:firstLineChars="0"/>
        <w:textAlignment w:val="auto"/>
        <w:rPr>
          <w:i/>
          <w:iCs/>
          <w:sz w:val="20"/>
          <w:szCs w:val="20"/>
          <w:lang w:eastAsia="ja-JP"/>
        </w:rPr>
      </w:pPr>
      <w:r>
        <w:rPr>
          <w:i/>
          <w:iCs/>
          <w:sz w:val="20"/>
          <w:szCs w:val="20"/>
          <w:lang w:eastAsia="ja-JP"/>
        </w:rPr>
        <w:t>Note: With the understanding that the by-default SSB periodicity for initial access is 160ms for Rel-19, from RRM requirement perspective.</w:t>
      </w:r>
    </w:p>
    <w:p w14:paraId="4A339C07">
      <w:pPr>
        <w:pStyle w:val="75"/>
        <w:keepNext w:val="0"/>
        <w:keepLines w:val="0"/>
        <w:pageBreakBefore w:val="0"/>
        <w:widowControl/>
        <w:numPr>
          <w:ilvl w:val="2"/>
          <w:numId w:val="7"/>
        </w:numPr>
        <w:kinsoku/>
        <w:wordWrap/>
        <w:overflowPunct/>
        <w:topLinePunct w:val="0"/>
        <w:autoSpaceDE/>
        <w:autoSpaceDN/>
        <w:bidi w:val="0"/>
        <w:adjustRightInd/>
        <w:snapToGrid/>
        <w:spacing w:before="60" w:after="60"/>
        <w:ind w:left="1200" w:leftChars="0" w:firstLineChars="0"/>
        <w:textAlignment w:val="auto"/>
        <w:rPr>
          <w:i/>
          <w:iCs/>
          <w:sz w:val="20"/>
          <w:szCs w:val="20"/>
          <w:lang w:eastAsia="ja-JP"/>
        </w:rPr>
      </w:pPr>
      <w:r>
        <w:rPr>
          <w:i/>
          <w:iCs/>
          <w:sz w:val="20"/>
          <w:szCs w:val="20"/>
          <w:lang w:eastAsia="ja-JP"/>
        </w:rPr>
        <w:t xml:space="preserve">Companies are encouraged to provide details on how to update the specification. </w:t>
      </w:r>
    </w:p>
    <w:p w14:paraId="38F5A484">
      <w:pPr>
        <w:pStyle w:val="75"/>
        <w:keepNext w:val="0"/>
        <w:keepLines w:val="0"/>
        <w:pageBreakBefore w:val="0"/>
        <w:widowControl/>
        <w:numPr>
          <w:ilvl w:val="1"/>
          <w:numId w:val="7"/>
        </w:numPr>
        <w:kinsoku/>
        <w:wordWrap/>
        <w:overflowPunct/>
        <w:topLinePunct w:val="0"/>
        <w:autoSpaceDE/>
        <w:autoSpaceDN/>
        <w:bidi w:val="0"/>
        <w:adjustRightInd/>
        <w:snapToGrid/>
        <w:spacing w:before="60" w:after="60"/>
        <w:ind w:left="780" w:leftChars="0" w:firstLineChars="0"/>
        <w:textAlignment w:val="auto"/>
        <w:rPr>
          <w:i/>
          <w:iCs/>
          <w:sz w:val="20"/>
          <w:szCs w:val="20"/>
          <w:lang w:eastAsia="ja-JP"/>
        </w:rPr>
      </w:pPr>
      <w:r>
        <w:rPr>
          <w:i/>
          <w:iCs/>
          <w:sz w:val="20"/>
          <w:szCs w:val="20"/>
          <w:lang w:eastAsia="ja-JP"/>
        </w:rPr>
        <w:t>Other option is not precluded.</w:t>
      </w:r>
    </w:p>
    <w:p w14:paraId="652BF21D">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sz w:val="20"/>
          <w:szCs w:val="20"/>
          <w:lang w:val="en-US" w:eastAsia="zh-CN"/>
        </w:rPr>
      </w:pPr>
      <w:r>
        <w:rPr>
          <w:rFonts w:hint="eastAsia" w:ascii="Times New Roman" w:hAnsi="Times New Roman" w:cs="Times New Roman"/>
          <w:b w:val="0"/>
          <w:bCs/>
          <w:i w:val="0"/>
          <w:iCs w:val="0"/>
          <w:sz w:val="20"/>
          <w:szCs w:val="20"/>
          <w:u w:val="none"/>
          <w:vertAlign w:val="baseline"/>
          <w:lang w:val="en-US" w:eastAsia="zh-CN"/>
        </w:rPr>
        <w:t xml:space="preserve">In legacy, for both RRC connection re-establishment to NR intra-frequency cell and inter-frequency cell, </w:t>
      </w:r>
      <w:r>
        <w:rPr>
          <w:rFonts w:hint="eastAsia"/>
          <w:sz w:val="20"/>
          <w:szCs w:val="20"/>
          <w:lang w:val="en-US" w:eastAsia="zh-CN"/>
        </w:rPr>
        <w:t>t</w:t>
      </w:r>
      <w:r>
        <w:rPr>
          <w:sz w:val="20"/>
          <w:szCs w:val="20"/>
          <w:lang w:eastAsia="ko-KR"/>
        </w:rPr>
        <w:t>he UE is not required to successfully</w:t>
      </w:r>
      <w:r>
        <w:rPr>
          <w:b/>
          <w:bCs/>
          <w:sz w:val="20"/>
          <w:szCs w:val="20"/>
        </w:rPr>
        <w:t xml:space="preserve"> </w:t>
      </w:r>
      <w:r>
        <w:rPr>
          <w:sz w:val="20"/>
          <w:szCs w:val="20"/>
          <w:lang w:eastAsia="ko-KR"/>
        </w:rPr>
        <w:t xml:space="preserve">identify a cell on any NR frequency layer when </w:t>
      </w:r>
      <w:bookmarkStart w:id="21" w:name="OLE_LINK15"/>
      <w:r>
        <w:rPr>
          <w:sz w:val="20"/>
          <w:szCs w:val="20"/>
          <w:lang w:eastAsia="ko-KR"/>
        </w:rPr>
        <w:t>T</w:t>
      </w:r>
      <w:r>
        <w:rPr>
          <w:sz w:val="20"/>
          <w:szCs w:val="20"/>
          <w:vertAlign w:val="subscript"/>
          <w:lang w:eastAsia="ko-KR"/>
        </w:rPr>
        <w:t>SMTC</w:t>
      </w:r>
      <w:r>
        <w:rPr>
          <w:rFonts w:hint="eastAsia"/>
          <w:sz w:val="20"/>
          <w:szCs w:val="20"/>
          <w:vertAlign w:val="baseline"/>
          <w:lang w:val="en-US" w:eastAsia="zh-CN"/>
        </w:rPr>
        <w:t>/</w:t>
      </w:r>
      <w:r>
        <w:rPr>
          <w:sz w:val="20"/>
          <w:szCs w:val="20"/>
          <w:vertAlign w:val="baseline"/>
          <w:lang w:eastAsia="ko-KR"/>
        </w:rPr>
        <w:t xml:space="preserve"> </w:t>
      </w:r>
      <w:r>
        <w:rPr>
          <w:sz w:val="20"/>
          <w:szCs w:val="20"/>
          <w:lang w:eastAsia="ko-KR"/>
        </w:rPr>
        <w:t>T</w:t>
      </w:r>
      <w:r>
        <w:rPr>
          <w:sz w:val="20"/>
          <w:szCs w:val="20"/>
          <w:vertAlign w:val="subscript"/>
          <w:lang w:eastAsia="ko-KR"/>
        </w:rPr>
        <w:t>SMTC,i</w:t>
      </w:r>
      <w:r>
        <w:rPr>
          <w:lang w:eastAsia="ko-KR"/>
        </w:rPr>
        <w:t xml:space="preserve"> </w:t>
      </w:r>
      <w:r>
        <w:rPr>
          <w:sz w:val="20"/>
          <w:szCs w:val="20"/>
          <w:lang w:eastAsia="ko-KR"/>
        </w:rPr>
        <w:t>&gt; 20 ms</w:t>
      </w:r>
      <w:bookmarkEnd w:id="21"/>
      <w:r>
        <w:rPr>
          <w:sz w:val="20"/>
          <w:szCs w:val="20"/>
          <w:lang w:eastAsia="ko-KR"/>
        </w:rPr>
        <w:t xml:space="preserve"> and serving cell SSB Ês/Iot &lt; -8 dB.</w:t>
      </w:r>
      <w:r>
        <w:rPr>
          <w:rFonts w:hint="eastAsia"/>
          <w:sz w:val="20"/>
          <w:szCs w:val="20"/>
          <w:lang w:val="en-US" w:eastAsia="zh-CN"/>
        </w:rPr>
        <w:t xml:space="preserve"> The current requirement is k*800ms (the highlight part below). Obviously, this shall be updated with the assumption of SSB periodicity larger than 20ms.</w:t>
      </w:r>
    </w:p>
    <w:p w14:paraId="0B656364">
      <w:pPr>
        <w:keepNext/>
        <w:keepLines/>
        <w:overflowPunct w:val="0"/>
        <w:autoSpaceDE w:val="0"/>
        <w:autoSpaceDN w:val="0"/>
        <w:adjustRightInd w:val="0"/>
        <w:spacing w:before="60" w:after="180"/>
        <w:jc w:val="center"/>
        <w:textAlignment w:val="baseline"/>
        <w:rPr>
          <w:rFonts w:ascii="Arial" w:hAnsi="Arial" w:eastAsia="Times New Roman" w:cs="Times New Roman"/>
          <w:b/>
          <w:sz w:val="20"/>
          <w:szCs w:val="20"/>
          <w:lang w:val="en-GB" w:eastAsia="en-US" w:bidi="ar-SA"/>
        </w:rPr>
      </w:pPr>
      <w:r>
        <w:rPr>
          <w:rFonts w:ascii="Arial" w:hAnsi="Arial" w:eastAsia="Times New Roman" w:cs="Times New Roman"/>
          <w:b/>
          <w:sz w:val="20"/>
          <w:szCs w:val="20"/>
          <w:lang w:val="en-GB" w:eastAsia="en-US" w:bidi="ar-SA"/>
        </w:rPr>
        <w:t>Table 6.2</w:t>
      </w:r>
      <w:r>
        <w:rPr>
          <w:rFonts w:hint="eastAsia" w:ascii="Arial" w:hAnsi="Arial" w:eastAsia="Times New Roman" w:cs="Times New Roman"/>
          <w:b/>
          <w:sz w:val="20"/>
          <w:szCs w:val="20"/>
          <w:lang w:val="en-GB" w:eastAsia="zh-CN" w:bidi="ar-SA"/>
        </w:rPr>
        <w:t>C</w:t>
      </w:r>
      <w:r>
        <w:rPr>
          <w:rFonts w:ascii="Arial" w:hAnsi="Arial" w:eastAsia="Times New Roman" w:cs="Times New Roman"/>
          <w:b/>
          <w:sz w:val="20"/>
          <w:szCs w:val="20"/>
          <w:lang w:val="en-GB" w:eastAsia="en-US" w:bidi="ar-SA"/>
        </w:rPr>
        <w:t>.1.2.1-1: Time to identify target NR cell for RRC connection re-establishment to NR intra-frequency cell</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14:paraId="0D45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bottom w:val="nil"/>
            </w:tcBorders>
            <w:shd w:val="clear" w:color="auto" w:fill="auto"/>
          </w:tcPr>
          <w:p w14:paraId="1F689C6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v4.2.0"/>
                <w:b/>
                <w:sz w:val="18"/>
                <w:lang w:val="en-GB" w:eastAsia="ko-KR" w:bidi="ar-SA"/>
              </w:rPr>
              <w:t xml:space="preserve">Serving cell </w:t>
            </w:r>
          </w:p>
        </w:tc>
        <w:tc>
          <w:tcPr>
            <w:tcW w:w="1837" w:type="dxa"/>
            <w:tcBorders>
              <w:bottom w:val="nil"/>
            </w:tcBorders>
            <w:shd w:val="clear" w:color="auto" w:fill="auto"/>
          </w:tcPr>
          <w:p w14:paraId="79A65D73">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 xml:space="preserve">FR of target NR </w:t>
            </w:r>
          </w:p>
        </w:tc>
        <w:tc>
          <w:tcPr>
            <w:tcW w:w="6176" w:type="dxa"/>
            <w:gridSpan w:val="2"/>
            <w:shd w:val="clear" w:color="auto" w:fill="auto"/>
          </w:tcPr>
          <w:p w14:paraId="08A740F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T</w:t>
            </w:r>
            <w:r>
              <w:rPr>
                <w:rFonts w:ascii="Arial" w:hAnsi="Arial" w:eastAsia="Times New Roman" w:cs="Times New Roman"/>
                <w:b/>
                <w:sz w:val="18"/>
                <w:vertAlign w:val="subscript"/>
                <w:lang w:val="en-GB" w:eastAsia="ko-KR" w:bidi="ar-SA"/>
              </w:rPr>
              <w:t xml:space="preserve">identify_intra_NR </w:t>
            </w:r>
            <w:r>
              <w:rPr>
                <w:rFonts w:ascii="Arial" w:hAnsi="Arial" w:eastAsia="Times New Roman" w:cs="Times New Roman"/>
                <w:b/>
                <w:sz w:val="18"/>
                <w:lang w:val="en-GB" w:eastAsia="ko-KR" w:bidi="ar-SA"/>
              </w:rPr>
              <w:t>[ms]</w:t>
            </w:r>
          </w:p>
        </w:tc>
      </w:tr>
      <w:tr w14:paraId="2DEE5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nil"/>
              <w:bottom w:val="nil"/>
            </w:tcBorders>
            <w:shd w:val="clear" w:color="auto" w:fill="auto"/>
          </w:tcPr>
          <w:p w14:paraId="5F0E2F03">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v4.2.0"/>
                <w:b/>
                <w:sz w:val="18"/>
                <w:lang w:val="en-GB" w:eastAsia="ko-KR" w:bidi="ar-SA"/>
              </w:rPr>
              <w:t xml:space="preserve">SSB </w:t>
            </w:r>
            <w:r>
              <w:rPr>
                <w:rFonts w:ascii="Arial" w:hAnsi="Arial" w:eastAsia="Times New Roman" w:cs="Times New Roman"/>
                <w:b/>
                <w:sz w:val="18"/>
                <w:lang w:val="en-GB" w:eastAsia="en-US" w:bidi="ar-SA"/>
              </w:rPr>
              <w:t>Ês/Iot (dB)</w:t>
            </w:r>
          </w:p>
        </w:tc>
        <w:tc>
          <w:tcPr>
            <w:tcW w:w="1837" w:type="dxa"/>
            <w:tcBorders>
              <w:top w:val="nil"/>
              <w:bottom w:val="nil"/>
            </w:tcBorders>
            <w:shd w:val="clear" w:color="auto" w:fill="auto"/>
          </w:tcPr>
          <w:p w14:paraId="6FD300D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cell</w:t>
            </w:r>
          </w:p>
        </w:tc>
        <w:tc>
          <w:tcPr>
            <w:tcW w:w="2801" w:type="dxa"/>
            <w:tcBorders>
              <w:bottom w:val="nil"/>
            </w:tcBorders>
            <w:shd w:val="clear" w:color="auto" w:fill="auto"/>
          </w:tcPr>
          <w:p w14:paraId="49E8E143">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Known NR cell</w:t>
            </w:r>
          </w:p>
        </w:tc>
        <w:tc>
          <w:tcPr>
            <w:tcW w:w="3375" w:type="dxa"/>
            <w:tcBorders>
              <w:bottom w:val="nil"/>
            </w:tcBorders>
            <w:shd w:val="clear" w:color="auto" w:fill="auto"/>
          </w:tcPr>
          <w:p w14:paraId="6E15958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Unknown NR cell</w:t>
            </w:r>
          </w:p>
        </w:tc>
      </w:tr>
      <w:tr w14:paraId="7DFA0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shd w:val="clear" w:color="auto" w:fill="auto"/>
          </w:tcPr>
          <w:p w14:paraId="1180831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Arial"/>
                <w:sz w:val="18"/>
                <w:lang w:val="en-GB" w:eastAsia="ko-KR" w:bidi="ar-SA"/>
              </w:rPr>
              <w:t>≥</w:t>
            </w:r>
            <w:r>
              <w:rPr>
                <w:rFonts w:ascii="Arial" w:hAnsi="Arial" w:eastAsia="Times New Roman" w:cs="Times New Roman"/>
                <w:sz w:val="18"/>
                <w:lang w:val="en-GB" w:eastAsia="ko-KR" w:bidi="ar-SA"/>
              </w:rPr>
              <w:t xml:space="preserve"> -8</w:t>
            </w:r>
          </w:p>
        </w:tc>
        <w:tc>
          <w:tcPr>
            <w:tcW w:w="1837" w:type="dxa"/>
            <w:shd w:val="clear" w:color="auto" w:fill="auto"/>
          </w:tcPr>
          <w:p w14:paraId="6B1391C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FR1</w:t>
            </w:r>
          </w:p>
        </w:tc>
        <w:tc>
          <w:tcPr>
            <w:tcW w:w="2801" w:type="dxa"/>
            <w:shd w:val="clear" w:color="auto" w:fill="auto"/>
          </w:tcPr>
          <w:p w14:paraId="76F47C4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MAX (200 ms, 5 x T</w:t>
            </w:r>
            <w:r>
              <w:rPr>
                <w:rFonts w:ascii="Arial" w:hAnsi="Arial" w:eastAsia="Times New Roman" w:cs="Times New Roman"/>
                <w:sz w:val="18"/>
                <w:vertAlign w:val="subscript"/>
                <w:lang w:val="en-GB" w:eastAsia="zh-CN" w:bidi="ar-SA"/>
              </w:rPr>
              <w:t>SMTC</w:t>
            </w:r>
            <w:r>
              <w:rPr>
                <w:rFonts w:ascii="Arial" w:hAnsi="Arial" w:eastAsia="Times New Roman" w:cs="Times New Roman"/>
                <w:sz w:val="18"/>
                <w:lang w:val="en-GB" w:eastAsia="zh-CN" w:bidi="ar-SA"/>
              </w:rPr>
              <w:t>)</w:t>
            </w:r>
          </w:p>
        </w:tc>
        <w:tc>
          <w:tcPr>
            <w:tcW w:w="3375" w:type="dxa"/>
            <w:shd w:val="clear" w:color="auto" w:fill="auto"/>
          </w:tcPr>
          <w:p w14:paraId="4E286B7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K</w:t>
            </w:r>
            <w:r>
              <w:rPr>
                <w:rFonts w:ascii="Arial" w:hAnsi="Arial" w:eastAsia="Times New Roman" w:cs="Times New Roman"/>
                <w:sz w:val="18"/>
                <w:vertAlign w:val="subscript"/>
                <w:lang w:val="en-GB" w:eastAsia="zh-CN" w:bidi="ar-SA"/>
              </w:rPr>
              <w:t>multi_SMTC</w:t>
            </w:r>
            <w:r>
              <w:rPr>
                <w:rFonts w:ascii="Arial" w:hAnsi="Arial" w:eastAsia="Times New Roman" w:cs="Times New Roman"/>
                <w:sz w:val="18"/>
                <w:lang w:val="en-GB" w:eastAsia="zh-CN" w:bidi="ar-SA"/>
              </w:rPr>
              <w:t xml:space="preserve"> * MAX (800 ms, 10 x T</w:t>
            </w:r>
            <w:r>
              <w:rPr>
                <w:rFonts w:ascii="Arial" w:hAnsi="Arial" w:eastAsia="Times New Roman" w:cs="Times New Roman"/>
                <w:sz w:val="18"/>
                <w:vertAlign w:val="subscript"/>
                <w:lang w:val="en-GB" w:eastAsia="zh-CN" w:bidi="ar-SA"/>
              </w:rPr>
              <w:t>SMTC</w:t>
            </w:r>
            <w:r>
              <w:rPr>
                <w:rFonts w:ascii="Arial" w:hAnsi="Arial" w:eastAsia="Times New Roman" w:cs="Times New Roman"/>
                <w:sz w:val="18"/>
                <w:lang w:val="en-GB" w:eastAsia="zh-CN" w:bidi="ar-SA"/>
              </w:rPr>
              <w:t>)</w:t>
            </w:r>
          </w:p>
        </w:tc>
      </w:tr>
      <w:tr w14:paraId="12540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14:paraId="586A8B3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&lt; -8</w:t>
            </w:r>
          </w:p>
        </w:tc>
        <w:tc>
          <w:tcPr>
            <w:tcW w:w="1837" w:type="dxa"/>
            <w:shd w:val="clear" w:color="auto" w:fill="auto"/>
          </w:tcPr>
          <w:p w14:paraId="5E88DDB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FR1</w:t>
            </w:r>
          </w:p>
        </w:tc>
        <w:tc>
          <w:tcPr>
            <w:tcW w:w="2801" w:type="dxa"/>
            <w:shd w:val="clear" w:color="auto" w:fill="auto"/>
          </w:tcPr>
          <w:p w14:paraId="77F890D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N/A</w:t>
            </w:r>
          </w:p>
        </w:tc>
        <w:tc>
          <w:tcPr>
            <w:tcW w:w="3375" w:type="dxa"/>
            <w:shd w:val="clear" w:color="auto" w:fill="auto"/>
          </w:tcPr>
          <w:p w14:paraId="1D82C44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highlight w:val="yellow"/>
                <w:lang w:val="en-GB" w:eastAsia="zh-CN" w:bidi="ar-SA"/>
              </w:rPr>
              <w:t xml:space="preserve">k * 800 ms </w:t>
            </w:r>
            <w:r>
              <w:rPr>
                <w:rFonts w:ascii="Arial" w:hAnsi="Arial" w:eastAsia="Times New Roman" w:cs="Times New Roman"/>
                <w:sz w:val="18"/>
                <w:highlight w:val="yellow"/>
                <w:vertAlign w:val="superscript"/>
                <w:lang w:val="en-GB" w:eastAsia="zh-CN" w:bidi="ar-SA"/>
              </w:rPr>
              <w:t>Note1, 3</w:t>
            </w:r>
          </w:p>
        </w:tc>
      </w:tr>
      <w:tr w14:paraId="670A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Pr>
          <w:p w14:paraId="4D41B573">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NOTE 1:</w:t>
            </w:r>
            <w:r>
              <w:rPr>
                <w:rFonts w:ascii="Arial" w:hAnsi="Arial" w:eastAsia="Times New Roman" w:cs="Times New Roman"/>
                <w:sz w:val="18"/>
                <w:lang w:val="en-GB" w:eastAsia="en-US" w:bidi="ar-SA"/>
              </w:rPr>
              <w:tab/>
            </w:r>
            <w:r>
              <w:rPr>
                <w:rFonts w:ascii="Arial" w:hAnsi="Arial" w:eastAsia="Times New Roman" w:cs="Times New Roman"/>
                <w:sz w:val="18"/>
                <w:highlight w:val="yellow"/>
                <w:lang w:val="en-GB" w:eastAsia="ko-KR" w:bidi="ar-SA"/>
              </w:rPr>
              <w:t>The UE is not required to successfully</w:t>
            </w:r>
            <w:r>
              <w:rPr>
                <w:rFonts w:ascii="Arial" w:hAnsi="Arial" w:eastAsia="Times New Roman" w:cs="Times New Roman"/>
                <w:b/>
                <w:bCs/>
                <w:sz w:val="18"/>
                <w:highlight w:val="yellow"/>
                <w:lang w:val="en-GB" w:eastAsia="en-US" w:bidi="ar-SA"/>
              </w:rPr>
              <w:t xml:space="preserve"> </w:t>
            </w:r>
            <w:r>
              <w:rPr>
                <w:rFonts w:ascii="Arial" w:hAnsi="Arial" w:eastAsia="Times New Roman" w:cs="Times New Roman"/>
                <w:sz w:val="18"/>
                <w:highlight w:val="yellow"/>
                <w:lang w:val="en-GB" w:eastAsia="ko-KR" w:bidi="ar-SA"/>
              </w:rPr>
              <w:t>identify a cell on any NR frequency layer when T</w:t>
            </w:r>
            <w:r>
              <w:rPr>
                <w:rFonts w:ascii="Arial" w:hAnsi="Arial" w:eastAsia="Times New Roman" w:cs="Times New Roman"/>
                <w:sz w:val="18"/>
                <w:highlight w:val="yellow"/>
                <w:vertAlign w:val="subscript"/>
                <w:lang w:val="en-GB" w:eastAsia="ko-KR" w:bidi="ar-SA"/>
              </w:rPr>
              <w:t>SMTC</w:t>
            </w:r>
            <w:r>
              <w:rPr>
                <w:rFonts w:ascii="Arial" w:hAnsi="Arial" w:eastAsia="Times New Roman" w:cs="Times New Roman"/>
                <w:sz w:val="18"/>
                <w:highlight w:val="yellow"/>
                <w:lang w:val="en-GB" w:eastAsia="ko-KR" w:bidi="ar-SA"/>
              </w:rPr>
              <w:t xml:space="preserve"> &gt; 20 ms and serving cell SSB Ês/Iot &lt; -8 dB.</w:t>
            </w:r>
          </w:p>
          <w:p w14:paraId="73B0DA9F">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zh-CN" w:bidi="ar-SA"/>
              </w:rPr>
              <w:t>K</w:t>
            </w:r>
            <w:r>
              <w:rPr>
                <w:rFonts w:ascii="Arial" w:hAnsi="Arial" w:eastAsia="Times New Roman" w:cs="Times New Roman"/>
                <w:sz w:val="18"/>
                <w:vertAlign w:val="subscript"/>
                <w:lang w:val="en-GB" w:eastAsia="zh-CN" w:bidi="ar-SA"/>
              </w:rPr>
              <w:t>multi_SMTC</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ko-KR" w:bidi="ar-SA"/>
              </w:rPr>
              <w:t>is defined in clause 9.2C.5.1.</w:t>
            </w:r>
          </w:p>
          <w:p w14:paraId="28C14BE2">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NOTE 3:</w:t>
            </w:r>
            <w:r>
              <w:rPr>
                <w:rFonts w:ascii="Arial" w:hAnsi="Arial" w:eastAsia="Times New Roman" w:cs="Times New Roman"/>
                <w:sz w:val="18"/>
                <w:lang w:val="en-GB" w:eastAsia="en-US" w:bidi="ar-SA"/>
              </w:rPr>
              <w:tab/>
            </w:r>
            <w:r>
              <w:rPr>
                <w:rFonts w:ascii="Arial" w:hAnsi="Arial" w:eastAsia="Times New Roman" w:cs="Times New Roman"/>
                <w:sz w:val="18"/>
                <w:lang w:val="en-GB" w:eastAsia="zh-CN" w:bidi="ar-SA"/>
              </w:rPr>
              <w:t>k</w:t>
            </w:r>
            <w:r>
              <w:rPr>
                <w:rFonts w:ascii="Arial" w:hAnsi="Arial" w:eastAsia="Times New Roman" w:cs="Times New Roman"/>
                <w:sz w:val="18"/>
                <w:lang w:val="en-GB" w:eastAsia="en-US" w:bidi="ar-SA"/>
              </w:rPr>
              <w:t xml:space="preserve"> = 1 </w:t>
            </w:r>
            <w:r>
              <w:rPr>
                <w:rFonts w:ascii="Arial" w:hAnsi="Arial" w:eastAsia="Times New Roman" w:cs="Times New Roman"/>
                <w:sz w:val="18"/>
                <w:lang w:val="en-GB" w:eastAsia="ko-KR" w:bidi="ar-SA"/>
              </w:rPr>
              <w:t xml:space="preserve">if the cells on the target frequency are served by GEO. </w:t>
            </w:r>
            <w:r>
              <w:rPr>
                <w:rFonts w:ascii="Arial" w:hAnsi="Arial" w:eastAsia="Times New Roman" w:cs="Times New Roman"/>
                <w:sz w:val="18"/>
                <w:lang w:val="en-GB" w:eastAsia="zh-CN" w:bidi="ar-SA"/>
              </w:rPr>
              <w:t>k</w:t>
            </w:r>
            <w:r>
              <w:rPr>
                <w:rFonts w:ascii="Arial" w:hAnsi="Arial" w:eastAsia="Times New Roman" w:cs="Times New Roman"/>
                <w:sz w:val="18"/>
                <w:lang w:val="en-GB" w:eastAsia="en-US" w:bidi="ar-SA"/>
              </w:rPr>
              <w:t xml:space="preserve"> = (N+1) </w:t>
            </w:r>
            <w:r>
              <w:rPr>
                <w:rFonts w:ascii="Arial" w:hAnsi="Arial" w:eastAsia="Times New Roman" w:cs="Times New Roman"/>
                <w:sz w:val="18"/>
                <w:lang w:val="en-GB" w:eastAsia="ko-KR" w:bidi="ar-SA"/>
              </w:rPr>
              <w:t>if the cells on the target frequency are served by LEO, where N is the number of different satellites associated to the list of configured neighbour cells in ntn-NeighCellConfigList and ntn-NeighCellConfigListExt.</w:t>
            </w:r>
          </w:p>
        </w:tc>
      </w:tr>
    </w:tbl>
    <w:p w14:paraId="1C451295">
      <w:pPr>
        <w:overflowPunct w:val="0"/>
        <w:autoSpaceDE w:val="0"/>
        <w:autoSpaceDN w:val="0"/>
        <w:adjustRightInd w:val="0"/>
        <w:spacing w:after="180"/>
        <w:textAlignment w:val="baseline"/>
        <w:rPr>
          <w:rFonts w:eastAsia="Times New Roman"/>
          <w:sz w:val="20"/>
          <w:szCs w:val="20"/>
          <w:lang w:val="en-GB" w:eastAsia="en-US"/>
        </w:rPr>
      </w:pPr>
    </w:p>
    <w:p w14:paraId="011C0E02">
      <w:pPr>
        <w:keepNext/>
        <w:keepLines/>
        <w:overflowPunct w:val="0"/>
        <w:autoSpaceDE w:val="0"/>
        <w:autoSpaceDN w:val="0"/>
        <w:adjustRightInd w:val="0"/>
        <w:spacing w:before="60" w:after="180"/>
        <w:jc w:val="center"/>
        <w:textAlignment w:val="baseline"/>
        <w:rPr>
          <w:rFonts w:ascii="Arial" w:hAnsi="Arial" w:eastAsia="Times New Roman" w:cs="Times New Roman"/>
          <w:b/>
          <w:sz w:val="20"/>
          <w:szCs w:val="20"/>
          <w:lang w:val="en-GB" w:eastAsia="en-US" w:bidi="ar-SA"/>
        </w:rPr>
      </w:pPr>
      <w:r>
        <w:rPr>
          <w:rFonts w:ascii="Arial" w:hAnsi="Arial" w:eastAsia="Times New Roman" w:cs="Times New Roman"/>
          <w:b/>
          <w:sz w:val="20"/>
          <w:szCs w:val="20"/>
          <w:lang w:val="en-GB" w:eastAsia="en-US" w:bidi="ar-SA"/>
        </w:rPr>
        <w:t>Table 6.2</w:t>
      </w:r>
      <w:r>
        <w:rPr>
          <w:rFonts w:hint="eastAsia" w:ascii="Arial" w:hAnsi="Arial" w:eastAsia="Times New Roman" w:cs="Times New Roman"/>
          <w:b/>
          <w:sz w:val="20"/>
          <w:szCs w:val="20"/>
          <w:lang w:val="en-GB" w:eastAsia="zh-CN" w:bidi="ar-SA"/>
        </w:rPr>
        <w:t>C</w:t>
      </w:r>
      <w:r>
        <w:rPr>
          <w:rFonts w:ascii="Arial" w:hAnsi="Arial" w:eastAsia="Times New Roman" w:cs="Times New Roman"/>
          <w:b/>
          <w:sz w:val="20"/>
          <w:szCs w:val="20"/>
          <w:lang w:val="en-GB" w:eastAsia="en-US" w:bidi="ar-SA"/>
        </w:rPr>
        <w:t>.1.2.1-2: Time to identify target NR cell for RRC connection re-establishment to NR inter-frequency cell</w:t>
      </w:r>
    </w:p>
    <w:tbl>
      <w:tblPr>
        <w:tblStyle w:val="20"/>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1701"/>
        <w:gridCol w:w="2835"/>
        <w:gridCol w:w="3411"/>
      </w:tblGrid>
      <w:tr w14:paraId="5CEB1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bottom w:val="nil"/>
            </w:tcBorders>
            <w:shd w:val="clear" w:color="auto" w:fill="auto"/>
          </w:tcPr>
          <w:p w14:paraId="7BF21AB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v4.2.0"/>
                <w:b/>
                <w:sz w:val="18"/>
                <w:lang w:val="en-GB" w:eastAsia="ko-KR" w:bidi="ar-SA"/>
              </w:rPr>
              <w:t xml:space="preserve">Serving cell SSB </w:t>
            </w:r>
            <w:r>
              <w:rPr>
                <w:rFonts w:ascii="Arial" w:hAnsi="Arial" w:eastAsia="Times New Roman" w:cs="Times New Roman"/>
                <w:b/>
                <w:sz w:val="18"/>
                <w:lang w:val="en-GB" w:eastAsia="en-US" w:bidi="ar-SA"/>
              </w:rPr>
              <w:t>Ês/Iot (dB)</w:t>
            </w:r>
          </w:p>
        </w:tc>
        <w:tc>
          <w:tcPr>
            <w:tcW w:w="1701" w:type="dxa"/>
            <w:tcBorders>
              <w:bottom w:val="nil"/>
            </w:tcBorders>
            <w:shd w:val="clear" w:color="auto" w:fill="auto"/>
          </w:tcPr>
          <w:p w14:paraId="07D55FD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FR of target NR cell</w:t>
            </w:r>
          </w:p>
        </w:tc>
        <w:tc>
          <w:tcPr>
            <w:tcW w:w="6246" w:type="dxa"/>
            <w:gridSpan w:val="2"/>
            <w:shd w:val="clear" w:color="auto" w:fill="auto"/>
          </w:tcPr>
          <w:p w14:paraId="58EF773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T</w:t>
            </w:r>
            <w:r>
              <w:rPr>
                <w:rFonts w:ascii="Arial" w:hAnsi="Arial" w:eastAsia="Times New Roman" w:cs="Times New Roman"/>
                <w:b/>
                <w:sz w:val="18"/>
                <w:vertAlign w:val="subscript"/>
                <w:lang w:val="en-GB" w:eastAsia="ko-KR" w:bidi="ar-SA"/>
              </w:rPr>
              <w:t xml:space="preserve">identify_inter_NR, i </w:t>
            </w:r>
            <w:r>
              <w:rPr>
                <w:rFonts w:ascii="Arial" w:hAnsi="Arial" w:eastAsia="Times New Roman" w:cs="Times New Roman"/>
                <w:b/>
                <w:sz w:val="18"/>
                <w:lang w:val="en-GB" w:eastAsia="ko-KR" w:bidi="ar-SA"/>
              </w:rPr>
              <w:t>[ms]</w:t>
            </w:r>
          </w:p>
        </w:tc>
      </w:tr>
      <w:tr w14:paraId="3F92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nil"/>
            </w:tcBorders>
            <w:shd w:val="clear" w:color="auto" w:fill="auto"/>
          </w:tcPr>
          <w:p w14:paraId="14688BE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p>
        </w:tc>
        <w:tc>
          <w:tcPr>
            <w:tcW w:w="1701" w:type="dxa"/>
            <w:tcBorders>
              <w:top w:val="nil"/>
            </w:tcBorders>
            <w:shd w:val="clear" w:color="auto" w:fill="auto"/>
          </w:tcPr>
          <w:p w14:paraId="44AA0525">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p>
        </w:tc>
        <w:tc>
          <w:tcPr>
            <w:tcW w:w="2835" w:type="dxa"/>
            <w:shd w:val="clear" w:color="auto" w:fill="auto"/>
          </w:tcPr>
          <w:p w14:paraId="179EB4B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Known NR cell</w:t>
            </w:r>
          </w:p>
        </w:tc>
        <w:tc>
          <w:tcPr>
            <w:tcW w:w="3411" w:type="dxa"/>
          </w:tcPr>
          <w:p w14:paraId="4A49DEB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Unknown NR cell</w:t>
            </w:r>
          </w:p>
        </w:tc>
      </w:tr>
      <w:tr w14:paraId="2540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512C9ED7">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Arial"/>
                <w:sz w:val="18"/>
                <w:lang w:val="en-GB" w:eastAsia="ko-KR" w:bidi="ar-SA"/>
              </w:rPr>
              <w:t>≥</w:t>
            </w:r>
            <w:r>
              <w:rPr>
                <w:rFonts w:ascii="Arial" w:hAnsi="Arial" w:eastAsia="Times New Roman" w:cs="Arial"/>
                <w:sz w:val="18"/>
                <w:lang w:val="en-GB" w:eastAsia="ko-KR" w:bidi="ar-SA"/>
              </w:rPr>
              <w:t xml:space="preserve"> </w:t>
            </w:r>
            <w:r>
              <w:rPr>
                <w:rFonts w:ascii="Arial" w:hAnsi="Arial" w:eastAsia="Times New Roman" w:cs="Times New Roman"/>
                <w:sz w:val="18"/>
                <w:lang w:val="en-GB" w:eastAsia="ko-KR" w:bidi="ar-SA"/>
              </w:rPr>
              <w:t>-8</w:t>
            </w:r>
          </w:p>
        </w:tc>
        <w:tc>
          <w:tcPr>
            <w:tcW w:w="1701" w:type="dxa"/>
            <w:shd w:val="clear" w:color="auto" w:fill="auto"/>
          </w:tcPr>
          <w:p w14:paraId="67B7BCB5">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FR1</w:t>
            </w:r>
          </w:p>
        </w:tc>
        <w:tc>
          <w:tcPr>
            <w:tcW w:w="2835" w:type="dxa"/>
            <w:shd w:val="clear" w:color="auto" w:fill="auto"/>
          </w:tcPr>
          <w:p w14:paraId="70D737D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MAX (200 ms, 6 x T</w:t>
            </w:r>
            <w:r>
              <w:rPr>
                <w:rFonts w:ascii="Arial" w:hAnsi="Arial" w:eastAsia="Times New Roman" w:cs="Times New Roman"/>
                <w:sz w:val="18"/>
                <w:vertAlign w:val="subscript"/>
                <w:lang w:val="en-GB" w:eastAsia="zh-CN" w:bidi="ar-SA"/>
              </w:rPr>
              <w:t>SMTC, i</w:t>
            </w:r>
            <w:r>
              <w:rPr>
                <w:rFonts w:ascii="Arial" w:hAnsi="Arial" w:eastAsia="Times New Roman" w:cs="Times New Roman"/>
                <w:sz w:val="18"/>
                <w:lang w:val="en-GB" w:eastAsia="zh-CN" w:bidi="ar-SA"/>
              </w:rPr>
              <w:t>)</w:t>
            </w:r>
          </w:p>
        </w:tc>
        <w:tc>
          <w:tcPr>
            <w:tcW w:w="3411" w:type="dxa"/>
            <w:shd w:val="clear" w:color="auto" w:fill="auto"/>
          </w:tcPr>
          <w:p w14:paraId="5E65140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K_satellite * MAX (800 ms, 13 x T</w:t>
            </w:r>
            <w:r>
              <w:rPr>
                <w:rFonts w:ascii="Arial" w:hAnsi="Arial" w:eastAsia="Times New Roman" w:cs="Times New Roman"/>
                <w:sz w:val="18"/>
                <w:vertAlign w:val="subscript"/>
                <w:lang w:val="en-GB" w:eastAsia="zh-CN" w:bidi="ar-SA"/>
              </w:rPr>
              <w:t>SMTC, i</w:t>
            </w:r>
            <w:r>
              <w:rPr>
                <w:rFonts w:ascii="Arial" w:hAnsi="Arial" w:eastAsia="Times New Roman" w:cs="Times New Roman"/>
                <w:sz w:val="18"/>
                <w:lang w:val="en-GB" w:eastAsia="zh-CN" w:bidi="ar-SA"/>
              </w:rPr>
              <w:t>)</w:t>
            </w:r>
          </w:p>
        </w:tc>
      </w:tr>
      <w:tr w14:paraId="14CAC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5B49AD78">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&lt; -8</w:t>
            </w:r>
          </w:p>
        </w:tc>
        <w:tc>
          <w:tcPr>
            <w:tcW w:w="1701" w:type="dxa"/>
            <w:shd w:val="clear" w:color="auto" w:fill="auto"/>
          </w:tcPr>
          <w:p w14:paraId="7CD29318">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FR1</w:t>
            </w:r>
          </w:p>
        </w:tc>
        <w:tc>
          <w:tcPr>
            <w:tcW w:w="2835" w:type="dxa"/>
            <w:shd w:val="clear" w:color="auto" w:fill="auto"/>
          </w:tcPr>
          <w:p w14:paraId="181359F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N/A</w:t>
            </w:r>
          </w:p>
        </w:tc>
        <w:tc>
          <w:tcPr>
            <w:tcW w:w="3411" w:type="dxa"/>
            <w:shd w:val="clear" w:color="auto" w:fill="auto"/>
          </w:tcPr>
          <w:p w14:paraId="418AA3B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highlight w:val="yellow"/>
                <w:lang w:val="en-GB" w:eastAsia="zh-CN" w:bidi="ar-SA"/>
              </w:rPr>
              <w:t xml:space="preserve">k * 800 ms </w:t>
            </w:r>
            <w:r>
              <w:rPr>
                <w:rFonts w:ascii="Arial" w:hAnsi="Arial" w:eastAsia="Times New Roman" w:cs="Times New Roman"/>
                <w:sz w:val="18"/>
                <w:highlight w:val="yellow"/>
                <w:vertAlign w:val="superscript"/>
                <w:lang w:val="en-GB" w:eastAsia="zh-CN" w:bidi="ar-SA"/>
              </w:rPr>
              <w:t>Note1, 3</w:t>
            </w:r>
          </w:p>
        </w:tc>
      </w:tr>
      <w:tr w14:paraId="6AAAC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3" w:type="dxa"/>
            <w:gridSpan w:val="4"/>
          </w:tcPr>
          <w:p w14:paraId="03000C80">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NOTE 1:</w:t>
            </w:r>
            <w:r>
              <w:rPr>
                <w:rFonts w:ascii="Arial" w:hAnsi="Arial" w:eastAsia="Times New Roman" w:cs="Times New Roman"/>
                <w:sz w:val="18"/>
                <w:lang w:val="en-GB" w:eastAsia="en-US" w:bidi="ar-SA"/>
              </w:rPr>
              <w:tab/>
            </w:r>
            <w:r>
              <w:rPr>
                <w:rFonts w:ascii="Arial" w:hAnsi="Arial" w:eastAsia="Times New Roman" w:cs="Times New Roman"/>
                <w:sz w:val="18"/>
                <w:highlight w:val="yellow"/>
                <w:lang w:val="en-GB" w:eastAsia="ko-KR" w:bidi="ar-SA"/>
              </w:rPr>
              <w:t>The UE is not required to successfully identify a cell on any NR frequency layer when T</w:t>
            </w:r>
            <w:r>
              <w:rPr>
                <w:rFonts w:ascii="Arial" w:hAnsi="Arial" w:eastAsia="Times New Roman" w:cs="Times New Roman"/>
                <w:sz w:val="18"/>
                <w:highlight w:val="yellow"/>
                <w:vertAlign w:val="subscript"/>
                <w:lang w:val="en-GB" w:eastAsia="ko-KR" w:bidi="ar-SA"/>
              </w:rPr>
              <w:t>SMTC,i</w:t>
            </w:r>
            <w:r>
              <w:rPr>
                <w:rFonts w:ascii="Arial" w:hAnsi="Arial" w:eastAsia="Times New Roman" w:cs="Times New Roman"/>
                <w:sz w:val="18"/>
                <w:highlight w:val="yellow"/>
                <w:lang w:val="en-GB" w:eastAsia="ko-KR" w:bidi="ar-SA"/>
              </w:rPr>
              <w:t xml:space="preserve"> &gt; 20 ms and serving cell SSB Ês/Iot &lt; -8 dB.</w:t>
            </w:r>
          </w:p>
          <w:p w14:paraId="1B871610">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zh-CN" w:bidi="ar-SA"/>
              </w:rPr>
              <w:t>K_satellite</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ko-KR" w:bidi="ar-SA"/>
              </w:rPr>
              <w:t>is defined in clause 9.3C.4.</w:t>
            </w:r>
          </w:p>
          <w:p w14:paraId="7EC2D6CA">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NOTE 3:</w:t>
            </w:r>
            <w:r>
              <w:rPr>
                <w:rFonts w:ascii="Arial" w:hAnsi="Arial" w:eastAsia="Times New Roman" w:cs="Times New Roman"/>
                <w:sz w:val="18"/>
                <w:lang w:val="en-GB" w:eastAsia="ko-KR" w:bidi="ar-SA"/>
              </w:rPr>
              <w:tab/>
            </w:r>
            <w:r>
              <w:rPr>
                <w:rFonts w:ascii="Arial" w:hAnsi="Arial" w:eastAsia="Times New Roman" w:cs="Times New Roman"/>
                <w:sz w:val="18"/>
                <w:lang w:val="en-GB" w:eastAsia="ko-KR" w:bidi="ar-SA"/>
              </w:rPr>
              <w:t>k = 1 if the cells on the target frequency are served by GEO. k = (N+1) if the cells on the target frequency are served by LEO,</w:t>
            </w:r>
            <w:r>
              <w:rPr>
                <w:rFonts w:ascii="Times New Roman" w:hAnsi="Times New Roman" w:eastAsia="Times New Roman" w:cs="Times New Roman"/>
                <w:sz w:val="20"/>
                <w:szCs w:val="24"/>
                <w:lang w:val="en-GB" w:eastAsia="zh-CN" w:bidi="ar-SA"/>
              </w:rPr>
              <w:t xml:space="preserve"> </w:t>
            </w:r>
            <w:r>
              <w:rPr>
                <w:rFonts w:ascii="Arial" w:hAnsi="Arial" w:eastAsia="Times New Roman" w:cs="Times New Roman"/>
                <w:sz w:val="18"/>
                <w:lang w:val="en-GB" w:eastAsia="ko-KR" w:bidi="ar-SA"/>
              </w:rPr>
              <w:t>where N is the number of different satellites associated to the list of configured neighbour cells in ntn-NeighCellConfigList and ntn-NeighCellConfigListExt.</w:t>
            </w:r>
          </w:p>
        </w:tc>
      </w:tr>
    </w:tbl>
    <w:p w14:paraId="4830174C">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val="0"/>
          <w:i w:val="0"/>
          <w:iCs w:val="0"/>
          <w:sz w:val="20"/>
          <w:szCs w:val="20"/>
          <w:u w:val="none"/>
          <w:lang w:val="en-US" w:eastAsia="zh-CN"/>
        </w:rPr>
      </w:pPr>
      <w:r>
        <w:rPr>
          <w:rFonts w:hint="eastAsia"/>
          <w:sz w:val="20"/>
          <w:szCs w:val="20"/>
          <w:lang w:val="en-US" w:eastAsia="zh-CN"/>
        </w:rPr>
        <w:t xml:space="preserve">For the case that </w:t>
      </w:r>
      <w:bookmarkStart w:id="22" w:name="OLE_LINK16"/>
      <w:r>
        <w:rPr>
          <w:sz w:val="20"/>
          <w:szCs w:val="20"/>
          <w:lang w:eastAsia="ko-KR"/>
        </w:rPr>
        <w:t>T</w:t>
      </w:r>
      <w:r>
        <w:rPr>
          <w:sz w:val="20"/>
          <w:szCs w:val="20"/>
          <w:vertAlign w:val="subscript"/>
          <w:lang w:eastAsia="ko-KR"/>
        </w:rPr>
        <w:t>SMTC</w:t>
      </w:r>
      <w:r>
        <w:rPr>
          <w:rFonts w:hint="eastAsia"/>
          <w:sz w:val="20"/>
          <w:szCs w:val="20"/>
          <w:vertAlign w:val="baseline"/>
          <w:lang w:val="en-US" w:eastAsia="zh-CN"/>
        </w:rPr>
        <w:t>/</w:t>
      </w:r>
      <w:r>
        <w:rPr>
          <w:sz w:val="20"/>
          <w:szCs w:val="20"/>
          <w:vertAlign w:val="baseline"/>
          <w:lang w:eastAsia="ko-KR"/>
        </w:rPr>
        <w:t xml:space="preserve"> </w:t>
      </w:r>
      <w:r>
        <w:rPr>
          <w:sz w:val="20"/>
          <w:szCs w:val="20"/>
          <w:lang w:eastAsia="ko-KR"/>
        </w:rPr>
        <w:t>T</w:t>
      </w:r>
      <w:r>
        <w:rPr>
          <w:sz w:val="20"/>
          <w:szCs w:val="20"/>
          <w:vertAlign w:val="subscript"/>
          <w:lang w:eastAsia="ko-KR"/>
        </w:rPr>
        <w:t>SMTC,i</w:t>
      </w:r>
      <w:bookmarkEnd w:id="22"/>
      <w:r>
        <w:rPr>
          <w:lang w:eastAsia="ko-KR"/>
        </w:rPr>
        <w:t xml:space="preserve"> </w:t>
      </w:r>
      <w:r>
        <w:rPr>
          <w:sz w:val="20"/>
          <w:szCs w:val="20"/>
          <w:lang w:eastAsia="ko-KR"/>
        </w:rPr>
        <w:t>&gt; 20 ms</w:t>
      </w:r>
      <w:r>
        <w:rPr>
          <w:rFonts w:hint="eastAsia"/>
          <w:sz w:val="20"/>
          <w:szCs w:val="20"/>
          <w:lang w:val="en-US" w:eastAsia="zh-CN"/>
        </w:rPr>
        <w:t>, we propose to define the requirement as</w:t>
      </w:r>
      <w:bookmarkStart w:id="23" w:name="OLE_LINK17"/>
      <w:bookmarkStart w:id="24" w:name="OLE_LINK20"/>
      <w:r>
        <w:rPr>
          <w:rFonts w:hint="eastAsia"/>
          <w:sz w:val="20"/>
          <w:szCs w:val="20"/>
          <w:lang w:val="en-US" w:eastAsia="zh-CN"/>
        </w:rPr>
        <w:t xml:space="preserve"> k*(10+N)*</w:t>
      </w:r>
      <w:r>
        <w:rPr>
          <w:sz w:val="20"/>
          <w:szCs w:val="20"/>
          <w:lang w:eastAsia="ko-KR"/>
        </w:rPr>
        <w:t>T</w:t>
      </w:r>
      <w:r>
        <w:rPr>
          <w:sz w:val="20"/>
          <w:szCs w:val="20"/>
          <w:vertAlign w:val="subscript"/>
          <w:lang w:eastAsia="ko-KR"/>
        </w:rPr>
        <w:t>SMTC</w:t>
      </w:r>
      <w:r>
        <w:rPr>
          <w:rFonts w:hint="eastAsia"/>
          <w:sz w:val="20"/>
          <w:szCs w:val="20"/>
          <w:vertAlign w:val="baseline"/>
          <w:lang w:val="en-US" w:eastAsia="zh-CN"/>
        </w:rPr>
        <w:t xml:space="preserve"> for RRC connection re-establishment to NR intra-frequency cell</w:t>
      </w:r>
      <w:bookmarkEnd w:id="23"/>
      <w:r>
        <w:rPr>
          <w:rFonts w:hint="eastAsia"/>
          <w:sz w:val="20"/>
          <w:szCs w:val="20"/>
          <w:vertAlign w:val="baseline"/>
          <w:lang w:val="en-US" w:eastAsia="zh-CN"/>
        </w:rPr>
        <w:t xml:space="preserve">, and </w:t>
      </w:r>
      <w:r>
        <w:rPr>
          <w:rFonts w:hint="eastAsia"/>
          <w:sz w:val="20"/>
          <w:szCs w:val="20"/>
          <w:lang w:val="en-US" w:eastAsia="zh-CN"/>
        </w:rPr>
        <w:t>k*(13+N)*</w:t>
      </w:r>
      <w:r>
        <w:rPr>
          <w:sz w:val="20"/>
          <w:szCs w:val="20"/>
          <w:lang w:eastAsia="ko-KR"/>
        </w:rPr>
        <w:t>T</w:t>
      </w:r>
      <w:r>
        <w:rPr>
          <w:sz w:val="20"/>
          <w:szCs w:val="20"/>
          <w:vertAlign w:val="subscript"/>
          <w:lang w:eastAsia="ko-KR"/>
        </w:rPr>
        <w:t>SMTC</w:t>
      </w:r>
      <w:r>
        <w:rPr>
          <w:rFonts w:hint="eastAsia"/>
          <w:sz w:val="20"/>
          <w:szCs w:val="20"/>
          <w:vertAlign w:val="subscript"/>
          <w:lang w:val="en-US" w:eastAsia="zh-CN"/>
        </w:rPr>
        <w:t>,i</w:t>
      </w:r>
      <w:r>
        <w:rPr>
          <w:rFonts w:hint="eastAsia"/>
          <w:sz w:val="20"/>
          <w:szCs w:val="20"/>
          <w:vertAlign w:val="baseline"/>
          <w:lang w:val="en-US" w:eastAsia="zh-CN"/>
        </w:rPr>
        <w:t xml:space="preserve"> for RRC connection re-establishment to NR inter-frequency cell. N is the relaxation part comparing t</w:t>
      </w:r>
      <w:r>
        <w:rPr>
          <w:rFonts w:hint="eastAsia"/>
          <w:b w:val="0"/>
          <w:bCs w:val="0"/>
          <w:i w:val="0"/>
          <w:iCs w:val="0"/>
          <w:sz w:val="20"/>
          <w:szCs w:val="20"/>
          <w:u w:val="none"/>
          <w:vertAlign w:val="baseline"/>
          <w:lang w:val="en-US" w:eastAsia="zh-CN"/>
        </w:rPr>
        <w:t xml:space="preserve">o the </w:t>
      </w:r>
      <w:r>
        <w:rPr>
          <w:b w:val="0"/>
          <w:bCs w:val="0"/>
          <w:i w:val="0"/>
          <w:iCs w:val="0"/>
          <w:sz w:val="20"/>
          <w:szCs w:val="20"/>
          <w:u w:val="none"/>
          <w:lang w:eastAsia="zh-CN"/>
        </w:rPr>
        <w:t xml:space="preserve">Ês/Iot </w:t>
      </w:r>
      <w:r>
        <w:rPr>
          <w:rFonts w:hint="eastAsia"/>
          <w:b w:val="0"/>
          <w:bCs w:val="0"/>
          <w:i w:val="0"/>
          <w:iCs w:val="0"/>
          <w:sz w:val="20"/>
          <w:szCs w:val="20"/>
          <w:u w:val="none"/>
          <w:lang w:val="en-US" w:eastAsia="zh-CN"/>
        </w:rPr>
        <w:t>&gt;</w:t>
      </w:r>
      <w:r>
        <w:rPr>
          <w:b w:val="0"/>
          <w:bCs w:val="0"/>
          <w:i w:val="0"/>
          <w:iCs w:val="0"/>
          <w:sz w:val="20"/>
          <w:szCs w:val="20"/>
          <w:u w:val="none"/>
          <w:lang w:eastAsia="zh-CN"/>
        </w:rPr>
        <w:t xml:space="preserve"> -8dB</w:t>
      </w:r>
      <w:r>
        <w:rPr>
          <w:rFonts w:hint="eastAsia"/>
          <w:b w:val="0"/>
          <w:bCs w:val="0"/>
          <w:i w:val="0"/>
          <w:iCs w:val="0"/>
          <w:sz w:val="20"/>
          <w:szCs w:val="20"/>
          <w:u w:val="none"/>
          <w:lang w:val="en-US" w:eastAsia="zh-CN"/>
        </w:rPr>
        <w:t xml:space="preserve"> case.</w:t>
      </w:r>
      <w:bookmarkEnd w:id="24"/>
    </w:p>
    <w:p w14:paraId="3696BECB">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ascii="Times New Roman" w:hAnsi="Times New Roman" w:eastAsia="宋体"/>
          <w:b/>
          <w:bCs/>
          <w:i/>
          <w:iCs/>
          <w:sz w:val="20"/>
          <w:szCs w:val="20"/>
          <w:u w:val="none"/>
          <w:lang w:val="en-US" w:eastAsia="zh-CN"/>
        </w:rPr>
      </w:pPr>
      <w:bookmarkStart w:id="25" w:name="OLE_LINK22"/>
      <w:r>
        <w:rPr>
          <w:rFonts w:hint="eastAsia"/>
          <w:b/>
          <w:bCs/>
          <w:i/>
          <w:iCs/>
          <w:sz w:val="20"/>
          <w:szCs w:val="20"/>
          <w:u w:val="none"/>
          <w:lang w:val="en-US" w:eastAsia="zh-CN"/>
        </w:rPr>
        <w:t xml:space="preserve">Proposal 5: For RRC re-establishment, when </w:t>
      </w:r>
      <w:r>
        <w:rPr>
          <w:b/>
          <w:bCs/>
          <w:i/>
          <w:iCs/>
          <w:sz w:val="20"/>
          <w:szCs w:val="20"/>
          <w:u w:val="none"/>
          <w:lang w:eastAsia="zh-CN"/>
        </w:rPr>
        <w:t>SSB Ês/Iot &lt; -8dB and SSB periodicity &gt;20 ms</w:t>
      </w:r>
      <w:r>
        <w:rPr>
          <w:rFonts w:hint="eastAsia"/>
          <w:b/>
          <w:bCs/>
          <w:i/>
          <w:iCs/>
          <w:sz w:val="20"/>
          <w:szCs w:val="20"/>
          <w:u w:val="none"/>
          <w:lang w:val="en-US" w:eastAsia="zh-CN"/>
        </w:rPr>
        <w:t>, update the T</w:t>
      </w:r>
      <w:r>
        <w:rPr>
          <w:rFonts w:hint="eastAsia"/>
          <w:b/>
          <w:bCs/>
          <w:i/>
          <w:iCs/>
          <w:sz w:val="20"/>
          <w:szCs w:val="20"/>
          <w:u w:val="none"/>
          <w:vertAlign w:val="subscript"/>
          <w:lang w:val="en-US" w:eastAsia="zh-CN"/>
        </w:rPr>
        <w:t>identify</w:t>
      </w:r>
      <w:r>
        <w:rPr>
          <w:rFonts w:hint="eastAsia"/>
          <w:b/>
          <w:bCs/>
          <w:i/>
          <w:iCs/>
          <w:sz w:val="20"/>
          <w:szCs w:val="20"/>
          <w:u w:val="none"/>
          <w:lang w:val="en-US" w:eastAsia="zh-CN"/>
        </w:rPr>
        <w:t xml:space="preserve"> as k*(10+N)*</w:t>
      </w:r>
      <w:r>
        <w:rPr>
          <w:b/>
          <w:bCs/>
          <w:i/>
          <w:iCs/>
          <w:sz w:val="20"/>
          <w:szCs w:val="20"/>
          <w:u w:val="none"/>
          <w:lang w:eastAsia="ko-KR"/>
        </w:rPr>
        <w:t>T</w:t>
      </w:r>
      <w:r>
        <w:rPr>
          <w:b/>
          <w:bCs/>
          <w:i/>
          <w:iCs/>
          <w:sz w:val="20"/>
          <w:szCs w:val="20"/>
          <w:u w:val="none"/>
          <w:vertAlign w:val="subscript"/>
          <w:lang w:eastAsia="ko-KR"/>
        </w:rPr>
        <w:t>SMTC</w:t>
      </w:r>
      <w:r>
        <w:rPr>
          <w:rFonts w:hint="eastAsia"/>
          <w:b/>
          <w:bCs/>
          <w:i/>
          <w:iCs/>
          <w:sz w:val="20"/>
          <w:szCs w:val="20"/>
          <w:u w:val="none"/>
          <w:vertAlign w:val="baseline"/>
          <w:lang w:val="en-US" w:eastAsia="zh-CN"/>
        </w:rPr>
        <w:t xml:space="preserve"> for RRC connection re-establishment to NR intra-frequency cell, and </w:t>
      </w:r>
      <w:r>
        <w:rPr>
          <w:rFonts w:hint="eastAsia"/>
          <w:b/>
          <w:bCs/>
          <w:i/>
          <w:iCs/>
          <w:sz w:val="20"/>
          <w:szCs w:val="20"/>
          <w:u w:val="none"/>
          <w:lang w:val="en-US" w:eastAsia="zh-CN"/>
        </w:rPr>
        <w:t>k*(13+N)*</w:t>
      </w:r>
      <w:r>
        <w:rPr>
          <w:b/>
          <w:bCs/>
          <w:i/>
          <w:iCs/>
          <w:sz w:val="20"/>
          <w:szCs w:val="20"/>
          <w:u w:val="none"/>
          <w:lang w:eastAsia="ko-KR"/>
        </w:rPr>
        <w:t>T</w:t>
      </w:r>
      <w:r>
        <w:rPr>
          <w:b/>
          <w:bCs/>
          <w:i/>
          <w:iCs/>
          <w:sz w:val="20"/>
          <w:szCs w:val="20"/>
          <w:u w:val="none"/>
          <w:vertAlign w:val="subscript"/>
          <w:lang w:eastAsia="ko-KR"/>
        </w:rPr>
        <w:t>SMTC</w:t>
      </w:r>
      <w:r>
        <w:rPr>
          <w:rFonts w:hint="eastAsia"/>
          <w:b/>
          <w:bCs/>
          <w:i/>
          <w:iCs/>
          <w:sz w:val="20"/>
          <w:szCs w:val="20"/>
          <w:u w:val="none"/>
          <w:vertAlign w:val="subscript"/>
          <w:lang w:val="en-US" w:eastAsia="zh-CN"/>
        </w:rPr>
        <w:t>,i</w:t>
      </w:r>
      <w:r>
        <w:rPr>
          <w:rFonts w:hint="eastAsia"/>
          <w:b/>
          <w:bCs/>
          <w:i/>
          <w:iCs/>
          <w:sz w:val="20"/>
          <w:szCs w:val="20"/>
          <w:u w:val="none"/>
          <w:vertAlign w:val="baseline"/>
          <w:lang w:val="en-US" w:eastAsia="zh-CN"/>
        </w:rPr>
        <w:t xml:space="preserve"> for RRC connection re-establishment to NR inter-frequency cell. N is the relaxation part comparing to the </w:t>
      </w:r>
      <w:r>
        <w:rPr>
          <w:b/>
          <w:bCs/>
          <w:i/>
          <w:iCs/>
          <w:sz w:val="20"/>
          <w:szCs w:val="20"/>
          <w:u w:val="none"/>
          <w:lang w:eastAsia="zh-CN"/>
        </w:rPr>
        <w:t xml:space="preserve">Ês/Iot </w:t>
      </w:r>
      <w:r>
        <w:rPr>
          <w:rFonts w:hint="eastAsia"/>
          <w:b/>
          <w:bCs/>
          <w:i/>
          <w:iCs/>
          <w:sz w:val="20"/>
          <w:szCs w:val="20"/>
          <w:u w:val="none"/>
          <w:lang w:val="en-US" w:eastAsia="zh-CN"/>
        </w:rPr>
        <w:t>&gt;</w:t>
      </w:r>
      <w:r>
        <w:rPr>
          <w:b/>
          <w:bCs/>
          <w:i/>
          <w:iCs/>
          <w:sz w:val="20"/>
          <w:szCs w:val="20"/>
          <w:u w:val="none"/>
          <w:lang w:eastAsia="zh-CN"/>
        </w:rPr>
        <w:t xml:space="preserve"> -8dB</w:t>
      </w:r>
      <w:r>
        <w:rPr>
          <w:rFonts w:hint="eastAsia"/>
          <w:b/>
          <w:bCs/>
          <w:i/>
          <w:iCs/>
          <w:sz w:val="20"/>
          <w:szCs w:val="20"/>
          <w:u w:val="none"/>
          <w:lang w:val="en-US" w:eastAsia="zh-CN"/>
        </w:rPr>
        <w:t xml:space="preserve"> case.</w:t>
      </w:r>
    </w:p>
    <w:bookmarkEnd w:id="25"/>
    <w:p w14:paraId="1D5B7EF7">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val="0"/>
          <w:i w:val="0"/>
          <w:iCs w:val="0"/>
          <w:sz w:val="20"/>
          <w:szCs w:val="20"/>
          <w:u w:val="none"/>
          <w:lang w:val="en-US" w:eastAsia="zh-CN"/>
        </w:rPr>
      </w:pPr>
    </w:p>
    <w:bookmarkEnd w:id="5"/>
    <w:bookmarkEnd w:id="8"/>
    <w:p w14:paraId="7BB5FA4E">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A43DD7F">
      <w:pPr>
        <w:spacing w:before="60"/>
        <w:rPr>
          <w:sz w:val="20"/>
          <w:szCs w:val="20"/>
        </w:rPr>
      </w:pPr>
      <w:bookmarkStart w:id="26" w:name="OLE_LINK3"/>
      <w:r>
        <w:rPr>
          <w:sz w:val="20"/>
          <w:szCs w:val="20"/>
        </w:rPr>
        <w:t xml:space="preserve">Based on the discussion above, the following observations and proposals are concluded. </w:t>
      </w:r>
      <w:bookmarkEnd w:id="6"/>
      <w:bookmarkEnd w:id="7"/>
    </w:p>
    <w:bookmarkEnd w:id="26"/>
    <w:p w14:paraId="5600217F">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 For the SSB periodicity larger than 20ms case, no update is needed for cell re-selection requirements.</w:t>
      </w:r>
    </w:p>
    <w:p w14:paraId="0E1F1174">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Observation 1: The paging interruption time will be longer than 1s when SMTC is configured as 160ms. This observation also valid for earlier release.</w:t>
      </w:r>
    </w:p>
    <w:p w14:paraId="10C2EF11">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bCs/>
          <w:i/>
          <w:iCs/>
          <w:sz w:val="20"/>
          <w:szCs w:val="20"/>
          <w:lang w:val="en-US" w:eastAsia="zh-CN"/>
        </w:rPr>
        <w:t>Proposal 2: In new release, further investigate whether UE can support smaller K in known Non-GEO target satellite scenario based on its capability.</w:t>
      </w:r>
    </w:p>
    <w:p w14:paraId="27919EDE">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ascii="Times New Roman" w:hAnsi="Times New Roman" w:eastAsia="宋体"/>
          <w:i/>
          <w:iCs/>
          <w:sz w:val="20"/>
          <w:szCs w:val="20"/>
          <w:lang w:val="en-US" w:eastAsia="zh-CN"/>
        </w:rPr>
      </w:pPr>
      <w:r>
        <w:rPr>
          <w:rFonts w:hint="eastAsia"/>
          <w:b/>
          <w:bCs/>
          <w:i/>
          <w:iCs/>
          <w:sz w:val="20"/>
          <w:szCs w:val="20"/>
          <w:lang w:val="en-US" w:eastAsia="zh-CN"/>
        </w:rPr>
        <w:t xml:space="preserve">Proposal 3: The updated default value of </w:t>
      </w:r>
      <w:r>
        <w:rPr>
          <w:rFonts w:ascii="Times New Roman" w:hAnsi="Times New Roman" w:eastAsia="Times New Roman"/>
          <w:b/>
          <w:bCs/>
          <w:i/>
          <w:iCs/>
          <w:sz w:val="20"/>
          <w:szCs w:val="20"/>
          <w:lang w:eastAsia="ja-JP"/>
        </w:rPr>
        <w:t>T</w:t>
      </w:r>
      <w:r>
        <w:rPr>
          <w:rFonts w:ascii="Times New Roman" w:hAnsi="Times New Roman" w:eastAsia="Times New Roman"/>
          <w:b/>
          <w:bCs/>
          <w:i/>
          <w:iCs/>
          <w:sz w:val="20"/>
          <w:szCs w:val="20"/>
          <w:vertAlign w:val="subscript"/>
          <w:lang w:eastAsia="ja-JP"/>
        </w:rPr>
        <w:t>SMTC,i</w:t>
      </w:r>
      <w:r>
        <w:rPr>
          <w:rFonts w:ascii="Times New Roman" w:hAnsi="Times New Roman" w:eastAsia="Times New Roman"/>
          <w:b/>
          <w:bCs/>
          <w:i/>
          <w:iCs/>
          <w:sz w:val="20"/>
          <w:szCs w:val="20"/>
          <w:lang w:eastAsia="ja-JP"/>
        </w:rPr>
        <w:t xml:space="preserve"> </w:t>
      </w:r>
      <w:r>
        <w:rPr>
          <w:rFonts w:hint="eastAsia"/>
          <w:b/>
          <w:bCs/>
          <w:i/>
          <w:iCs/>
          <w:sz w:val="20"/>
          <w:szCs w:val="20"/>
          <w:lang w:val="en-US" w:eastAsia="zh-CN"/>
        </w:rPr>
        <w:t>will be applied only for UEs capable of coverage enhancement feature, the specific UE feature can wait for more input from RAN1.</w:t>
      </w:r>
    </w:p>
    <w:p w14:paraId="5BBB3BE2">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ascii="Times New Roman" w:hAnsi="Times New Roman" w:eastAsia="宋体"/>
          <w:b/>
          <w:bCs/>
          <w:i/>
          <w:iCs/>
          <w:sz w:val="20"/>
          <w:szCs w:val="20"/>
          <w:lang w:val="en-US" w:eastAsia="zh-CN"/>
        </w:rPr>
      </w:pPr>
      <w:r>
        <w:rPr>
          <w:rFonts w:hint="eastAsia"/>
          <w:b/>
          <w:bCs/>
          <w:i/>
          <w:iCs/>
          <w:sz w:val="20"/>
          <w:szCs w:val="20"/>
          <w:lang w:val="en-US" w:eastAsia="zh-CN"/>
        </w:rPr>
        <w:t xml:space="preserve">Proposal 4: In </w:t>
      </w:r>
      <w:r>
        <w:rPr>
          <w:rFonts w:ascii="Times New Roman" w:hAnsi="Times New Roman" w:eastAsia="Times New Roman"/>
          <w:b/>
          <w:bCs/>
          <w:i/>
          <w:iCs/>
          <w:sz w:val="20"/>
          <w:szCs w:val="20"/>
          <w:lang w:eastAsia="ja-JP"/>
        </w:rPr>
        <w:t>RRC re-establishment requirements, update the value of T</w:t>
      </w:r>
      <w:r>
        <w:rPr>
          <w:rFonts w:ascii="Times New Roman" w:hAnsi="Times New Roman" w:eastAsia="Times New Roman"/>
          <w:b/>
          <w:bCs/>
          <w:i/>
          <w:iCs/>
          <w:sz w:val="20"/>
          <w:szCs w:val="20"/>
          <w:vertAlign w:val="subscript"/>
          <w:lang w:eastAsia="ja-JP"/>
        </w:rPr>
        <w:t>SMTC,i</w:t>
      </w:r>
      <w:r>
        <w:rPr>
          <w:rFonts w:ascii="Times New Roman" w:hAnsi="Times New Roman" w:eastAsia="Times New Roman"/>
          <w:b/>
          <w:bCs/>
          <w:i/>
          <w:iCs/>
          <w:sz w:val="20"/>
          <w:szCs w:val="20"/>
          <w:lang w:eastAsia="ja-JP"/>
        </w:rPr>
        <w:t xml:space="preserve"> to 160ms</w:t>
      </w:r>
      <w:r>
        <w:rPr>
          <w:rFonts w:hint="eastAsia" w:ascii="Times New Roman" w:hAnsi="Times New Roman" w:eastAsia="宋体"/>
          <w:b/>
          <w:bCs/>
          <w:i/>
          <w:iCs/>
          <w:sz w:val="20"/>
          <w:szCs w:val="20"/>
          <w:lang w:val="en-US" w:eastAsia="zh-CN"/>
        </w:rPr>
        <w:t xml:space="preserve"> only</w:t>
      </w:r>
      <w:r>
        <w:rPr>
          <w:rFonts w:ascii="Times New Roman" w:hAnsi="Times New Roman" w:eastAsia="Times New Roman"/>
          <w:b/>
          <w:bCs/>
          <w:i/>
          <w:iCs/>
          <w:sz w:val="20"/>
          <w:szCs w:val="20"/>
          <w:lang w:eastAsia="ja-JP"/>
        </w:rPr>
        <w:t xml:space="preserve"> for case where the SMTC for the inter-frequency carrier is not provided</w:t>
      </w:r>
      <w:r>
        <w:rPr>
          <w:rFonts w:hint="eastAsia" w:ascii="Times New Roman" w:hAnsi="Times New Roman" w:eastAsia="宋体"/>
          <w:b/>
          <w:bCs/>
          <w:i/>
          <w:iCs/>
          <w:sz w:val="20"/>
          <w:szCs w:val="20"/>
          <w:lang w:val="en-US" w:eastAsia="zh-CN"/>
        </w:rPr>
        <w:t>.</w:t>
      </w:r>
    </w:p>
    <w:p w14:paraId="3B073F8F">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ascii="Times New Roman" w:hAnsi="Times New Roman" w:eastAsia="宋体"/>
          <w:b/>
          <w:bCs/>
          <w:i/>
          <w:iCs/>
          <w:sz w:val="20"/>
          <w:szCs w:val="20"/>
          <w:u w:val="none"/>
          <w:lang w:val="en-US" w:eastAsia="zh-CN"/>
        </w:rPr>
      </w:pPr>
      <w:r>
        <w:rPr>
          <w:rFonts w:hint="eastAsia"/>
          <w:b/>
          <w:bCs/>
          <w:i/>
          <w:iCs/>
          <w:sz w:val="20"/>
          <w:szCs w:val="20"/>
          <w:u w:val="none"/>
          <w:lang w:val="en-US" w:eastAsia="zh-CN"/>
        </w:rPr>
        <w:t xml:space="preserve">Proposal 5: For RRC re-establishment, when </w:t>
      </w:r>
      <w:r>
        <w:rPr>
          <w:b/>
          <w:bCs/>
          <w:i/>
          <w:iCs/>
          <w:sz w:val="20"/>
          <w:szCs w:val="20"/>
          <w:u w:val="none"/>
          <w:lang w:eastAsia="zh-CN"/>
        </w:rPr>
        <w:t>SSB Ês/Iot &lt; -8dB and SSB periodicity &gt;20 ms</w:t>
      </w:r>
      <w:r>
        <w:rPr>
          <w:rFonts w:hint="eastAsia"/>
          <w:b/>
          <w:bCs/>
          <w:i/>
          <w:iCs/>
          <w:sz w:val="20"/>
          <w:szCs w:val="20"/>
          <w:u w:val="none"/>
          <w:lang w:val="en-US" w:eastAsia="zh-CN"/>
        </w:rPr>
        <w:t>, update the T</w:t>
      </w:r>
      <w:r>
        <w:rPr>
          <w:rFonts w:hint="eastAsia"/>
          <w:b/>
          <w:bCs/>
          <w:i/>
          <w:iCs/>
          <w:sz w:val="20"/>
          <w:szCs w:val="20"/>
          <w:u w:val="none"/>
          <w:vertAlign w:val="subscript"/>
          <w:lang w:val="en-US" w:eastAsia="zh-CN"/>
        </w:rPr>
        <w:t>identify</w:t>
      </w:r>
      <w:r>
        <w:rPr>
          <w:rFonts w:hint="eastAsia"/>
          <w:b/>
          <w:bCs/>
          <w:i/>
          <w:iCs/>
          <w:sz w:val="20"/>
          <w:szCs w:val="20"/>
          <w:u w:val="none"/>
          <w:lang w:val="en-US" w:eastAsia="zh-CN"/>
        </w:rPr>
        <w:t xml:space="preserve"> as k*(10+N)*</w:t>
      </w:r>
      <w:r>
        <w:rPr>
          <w:b/>
          <w:bCs/>
          <w:i/>
          <w:iCs/>
          <w:sz w:val="20"/>
          <w:szCs w:val="20"/>
          <w:u w:val="none"/>
          <w:lang w:eastAsia="ko-KR"/>
        </w:rPr>
        <w:t>T</w:t>
      </w:r>
      <w:r>
        <w:rPr>
          <w:b/>
          <w:bCs/>
          <w:i/>
          <w:iCs/>
          <w:sz w:val="20"/>
          <w:szCs w:val="20"/>
          <w:u w:val="none"/>
          <w:vertAlign w:val="subscript"/>
          <w:lang w:eastAsia="ko-KR"/>
        </w:rPr>
        <w:t>SMTC</w:t>
      </w:r>
      <w:r>
        <w:rPr>
          <w:rFonts w:hint="eastAsia"/>
          <w:b/>
          <w:bCs/>
          <w:i/>
          <w:iCs/>
          <w:sz w:val="20"/>
          <w:szCs w:val="20"/>
          <w:u w:val="none"/>
          <w:vertAlign w:val="baseline"/>
          <w:lang w:val="en-US" w:eastAsia="zh-CN"/>
        </w:rPr>
        <w:t xml:space="preserve"> for RRC connection re-establishment to NR intra-frequency cell, and </w:t>
      </w:r>
      <w:r>
        <w:rPr>
          <w:rFonts w:hint="eastAsia"/>
          <w:b/>
          <w:bCs/>
          <w:i/>
          <w:iCs/>
          <w:sz w:val="20"/>
          <w:szCs w:val="20"/>
          <w:u w:val="none"/>
          <w:lang w:val="en-US" w:eastAsia="zh-CN"/>
        </w:rPr>
        <w:t>k*(13+N)*</w:t>
      </w:r>
      <w:r>
        <w:rPr>
          <w:b/>
          <w:bCs/>
          <w:i/>
          <w:iCs/>
          <w:sz w:val="20"/>
          <w:szCs w:val="20"/>
          <w:u w:val="none"/>
          <w:lang w:eastAsia="ko-KR"/>
        </w:rPr>
        <w:t>T</w:t>
      </w:r>
      <w:r>
        <w:rPr>
          <w:b/>
          <w:bCs/>
          <w:i/>
          <w:iCs/>
          <w:sz w:val="20"/>
          <w:szCs w:val="20"/>
          <w:u w:val="none"/>
          <w:vertAlign w:val="subscript"/>
          <w:lang w:eastAsia="ko-KR"/>
        </w:rPr>
        <w:t>SMTC</w:t>
      </w:r>
      <w:r>
        <w:rPr>
          <w:rFonts w:hint="eastAsia"/>
          <w:b/>
          <w:bCs/>
          <w:i/>
          <w:iCs/>
          <w:sz w:val="20"/>
          <w:szCs w:val="20"/>
          <w:u w:val="none"/>
          <w:vertAlign w:val="subscript"/>
          <w:lang w:val="en-US" w:eastAsia="zh-CN"/>
        </w:rPr>
        <w:t>,i</w:t>
      </w:r>
      <w:r>
        <w:rPr>
          <w:rFonts w:hint="eastAsia"/>
          <w:b/>
          <w:bCs/>
          <w:i/>
          <w:iCs/>
          <w:sz w:val="20"/>
          <w:szCs w:val="20"/>
          <w:u w:val="none"/>
          <w:vertAlign w:val="baseline"/>
          <w:lang w:val="en-US" w:eastAsia="zh-CN"/>
        </w:rPr>
        <w:t xml:space="preserve"> for RRC connection re-establishment to NR inter-frequency cell. N is the relaxation part comparing to the </w:t>
      </w:r>
      <w:r>
        <w:rPr>
          <w:b/>
          <w:bCs/>
          <w:i/>
          <w:iCs/>
          <w:sz w:val="20"/>
          <w:szCs w:val="20"/>
          <w:u w:val="none"/>
          <w:lang w:eastAsia="zh-CN"/>
        </w:rPr>
        <w:t xml:space="preserve">Ês/Iot </w:t>
      </w:r>
      <w:r>
        <w:rPr>
          <w:rFonts w:hint="eastAsia"/>
          <w:b/>
          <w:bCs/>
          <w:i/>
          <w:iCs/>
          <w:sz w:val="20"/>
          <w:szCs w:val="20"/>
          <w:u w:val="none"/>
          <w:lang w:val="en-US" w:eastAsia="zh-CN"/>
        </w:rPr>
        <w:t>&gt;</w:t>
      </w:r>
      <w:r>
        <w:rPr>
          <w:b/>
          <w:bCs/>
          <w:i/>
          <w:iCs/>
          <w:sz w:val="20"/>
          <w:szCs w:val="20"/>
          <w:u w:val="none"/>
          <w:lang w:eastAsia="zh-CN"/>
        </w:rPr>
        <w:t xml:space="preserve"> -8dB</w:t>
      </w:r>
      <w:r>
        <w:rPr>
          <w:rFonts w:hint="eastAsia"/>
          <w:b/>
          <w:bCs/>
          <w:i/>
          <w:iCs/>
          <w:sz w:val="20"/>
          <w:szCs w:val="20"/>
          <w:u w:val="none"/>
          <w:lang w:val="en-US" w:eastAsia="zh-CN"/>
        </w:rPr>
        <w:t xml:space="preserve"> case.</w:t>
      </w:r>
    </w:p>
    <w:p w14:paraId="01588127">
      <w:pPr>
        <w:spacing w:before="60"/>
        <w:rPr>
          <w:sz w:val="20"/>
          <w:szCs w:val="20"/>
        </w:rPr>
      </w:pPr>
    </w:p>
    <w:p w14:paraId="718048D9">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75CA23A">
      <w:pPr>
        <w:numPr>
          <w:ilvl w:val="0"/>
          <w:numId w:val="8"/>
        </w:numPr>
        <w:rPr>
          <w:rFonts w:hint="default" w:eastAsiaTheme="minorEastAsia"/>
          <w:sz w:val="20"/>
          <w:szCs w:val="20"/>
          <w:lang w:val="en-US" w:eastAsia="zh-CN"/>
        </w:rPr>
      </w:pPr>
      <w:r>
        <w:rPr>
          <w:rFonts w:hint="eastAsia"/>
          <w:sz w:val="20"/>
          <w:szCs w:val="20"/>
          <w:lang w:val="en-US" w:eastAsia="zh-CN"/>
        </w:rPr>
        <w:t>R4-2502605, WF on RRM requirements for NR_NTN_Ph3_Part2, Moderator (Qualcomm Incorporated)</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0"/>
      <w:numFmt w:val="bullet"/>
      <w:lvlText w:val="-"/>
      <w:lvlJc w:val="left"/>
      <w:pPr>
        <w:tabs>
          <w:tab w:val="left" w:pos="-420"/>
        </w:tabs>
        <w:ind w:left="4116" w:hanging="360"/>
      </w:pPr>
      <w:rPr>
        <w:rFonts w:hint="default" w:ascii="Times New Roman" w:hAnsi="Times New Roman" w:eastAsia="Yu Mincho" w:cs="Times New Roman"/>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3">
    <w:nsid w:val="67267C66"/>
    <w:multiLevelType w:val="multilevel"/>
    <w:tmpl w:val="67267C66"/>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0"/>
      <w:numFmt w:val="bullet"/>
      <w:lvlText w:val="•"/>
      <w:lvlJc w:val="left"/>
      <w:pPr>
        <w:ind w:left="6404" w:hanging="360"/>
      </w:pPr>
      <w:rPr>
        <w:rFonts w:hint="default" w:ascii="Times New Roman" w:hAnsi="Times New Roman" w:eastAsia="宋体" w:cs="Times New Roman"/>
      </w:rPr>
    </w:lvl>
  </w:abstractNum>
  <w:abstractNum w:abstractNumId="4">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9EE624D"/>
    <w:multiLevelType w:val="singleLevel"/>
    <w:tmpl w:val="79EE624D"/>
    <w:lvl w:ilvl="0" w:tentative="0">
      <w:start w:val="1"/>
      <w:numFmt w:val="decimal"/>
      <w:suff w:val="space"/>
      <w:lvlText w:val="[%1]"/>
      <w:lvlJc w:val="left"/>
    </w:lvl>
  </w:abstractNum>
  <w:num w:numId="1">
    <w:abstractNumId w:val="6"/>
  </w:num>
  <w:num w:numId="2">
    <w:abstractNumId w:val="4"/>
  </w:num>
  <w:num w:numId="3">
    <w:abstractNumId w:val="1"/>
  </w:num>
  <w:num w:numId="4">
    <w:abstractNumId w:val="5"/>
  </w:num>
  <w:num w:numId="5">
    <w:abstractNumId w:val="0"/>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2F7484"/>
    <w:rsid w:val="01437C9C"/>
    <w:rsid w:val="0157185C"/>
    <w:rsid w:val="02BB15E8"/>
    <w:rsid w:val="02CD6222"/>
    <w:rsid w:val="032875BA"/>
    <w:rsid w:val="04027B7C"/>
    <w:rsid w:val="04270E0A"/>
    <w:rsid w:val="04F14AC0"/>
    <w:rsid w:val="05D82196"/>
    <w:rsid w:val="05E842A2"/>
    <w:rsid w:val="061C4A75"/>
    <w:rsid w:val="06830D33"/>
    <w:rsid w:val="072E0E23"/>
    <w:rsid w:val="07B91BA9"/>
    <w:rsid w:val="07C1067F"/>
    <w:rsid w:val="09301679"/>
    <w:rsid w:val="098E414D"/>
    <w:rsid w:val="0A002B8F"/>
    <w:rsid w:val="0A2F10B0"/>
    <w:rsid w:val="0A314183"/>
    <w:rsid w:val="0A512B65"/>
    <w:rsid w:val="0B3C6892"/>
    <w:rsid w:val="0B4D1804"/>
    <w:rsid w:val="0B4E364B"/>
    <w:rsid w:val="0BC169A8"/>
    <w:rsid w:val="0BFD3FEE"/>
    <w:rsid w:val="0BFE43A0"/>
    <w:rsid w:val="0C34713B"/>
    <w:rsid w:val="0D11391B"/>
    <w:rsid w:val="0D6D742F"/>
    <w:rsid w:val="0DB01D4D"/>
    <w:rsid w:val="0E1E058B"/>
    <w:rsid w:val="0E6C3CB3"/>
    <w:rsid w:val="0E723D6F"/>
    <w:rsid w:val="0EA0635C"/>
    <w:rsid w:val="0EB73522"/>
    <w:rsid w:val="0EC601AB"/>
    <w:rsid w:val="0F2A17EF"/>
    <w:rsid w:val="10FD15E1"/>
    <w:rsid w:val="11410433"/>
    <w:rsid w:val="11502A3C"/>
    <w:rsid w:val="116206E1"/>
    <w:rsid w:val="11E74B6B"/>
    <w:rsid w:val="135D091C"/>
    <w:rsid w:val="1381490C"/>
    <w:rsid w:val="144E60BA"/>
    <w:rsid w:val="14704788"/>
    <w:rsid w:val="14B343FF"/>
    <w:rsid w:val="14E90996"/>
    <w:rsid w:val="155A08C9"/>
    <w:rsid w:val="16B47AC1"/>
    <w:rsid w:val="16F963FC"/>
    <w:rsid w:val="17F40229"/>
    <w:rsid w:val="17F76EF9"/>
    <w:rsid w:val="18572D14"/>
    <w:rsid w:val="189E2829"/>
    <w:rsid w:val="19166C11"/>
    <w:rsid w:val="19684D1A"/>
    <w:rsid w:val="199268D2"/>
    <w:rsid w:val="19AE4C3C"/>
    <w:rsid w:val="19E84EE7"/>
    <w:rsid w:val="1A337C08"/>
    <w:rsid w:val="1A693185"/>
    <w:rsid w:val="1AE9076D"/>
    <w:rsid w:val="1B08792E"/>
    <w:rsid w:val="1C045BB5"/>
    <w:rsid w:val="1CE6214B"/>
    <w:rsid w:val="1D482986"/>
    <w:rsid w:val="1D530466"/>
    <w:rsid w:val="1E727913"/>
    <w:rsid w:val="1EBC4909"/>
    <w:rsid w:val="203F5164"/>
    <w:rsid w:val="20741BCD"/>
    <w:rsid w:val="208E05CF"/>
    <w:rsid w:val="20AB71FD"/>
    <w:rsid w:val="21E6327B"/>
    <w:rsid w:val="22042A4E"/>
    <w:rsid w:val="220A3DCE"/>
    <w:rsid w:val="226278E6"/>
    <w:rsid w:val="228679ED"/>
    <w:rsid w:val="2297614E"/>
    <w:rsid w:val="22CD4739"/>
    <w:rsid w:val="22DF4B25"/>
    <w:rsid w:val="23A0131E"/>
    <w:rsid w:val="23F24A71"/>
    <w:rsid w:val="2453420A"/>
    <w:rsid w:val="2514714B"/>
    <w:rsid w:val="25B0630F"/>
    <w:rsid w:val="260E7FC9"/>
    <w:rsid w:val="264F651F"/>
    <w:rsid w:val="26AB5CAA"/>
    <w:rsid w:val="270343AF"/>
    <w:rsid w:val="275238E8"/>
    <w:rsid w:val="27885E9A"/>
    <w:rsid w:val="27A9199E"/>
    <w:rsid w:val="27C37418"/>
    <w:rsid w:val="27E70AD2"/>
    <w:rsid w:val="282B4205"/>
    <w:rsid w:val="28340C68"/>
    <w:rsid w:val="28E63708"/>
    <w:rsid w:val="2903193C"/>
    <w:rsid w:val="293A0182"/>
    <w:rsid w:val="29F06898"/>
    <w:rsid w:val="29F41202"/>
    <w:rsid w:val="2A1C7136"/>
    <w:rsid w:val="2A3B6454"/>
    <w:rsid w:val="2A52567F"/>
    <w:rsid w:val="2AD63ADB"/>
    <w:rsid w:val="2B2D51E0"/>
    <w:rsid w:val="2CCE420F"/>
    <w:rsid w:val="2CCE7A93"/>
    <w:rsid w:val="2D3C0CBF"/>
    <w:rsid w:val="2D480610"/>
    <w:rsid w:val="2E177608"/>
    <w:rsid w:val="2E285745"/>
    <w:rsid w:val="2E5D0DE0"/>
    <w:rsid w:val="2E954754"/>
    <w:rsid w:val="2EBB7CD6"/>
    <w:rsid w:val="2ECD6A4D"/>
    <w:rsid w:val="2EFE3F8C"/>
    <w:rsid w:val="2F1F43E1"/>
    <w:rsid w:val="2F28060A"/>
    <w:rsid w:val="2FF748E5"/>
    <w:rsid w:val="2FF77A64"/>
    <w:rsid w:val="302A3B16"/>
    <w:rsid w:val="30A75F51"/>
    <w:rsid w:val="30B631AE"/>
    <w:rsid w:val="311C418B"/>
    <w:rsid w:val="312A6EA1"/>
    <w:rsid w:val="314F1B30"/>
    <w:rsid w:val="31EE5A4C"/>
    <w:rsid w:val="33106379"/>
    <w:rsid w:val="33417212"/>
    <w:rsid w:val="339A6C60"/>
    <w:rsid w:val="33A629ED"/>
    <w:rsid w:val="33C33478"/>
    <w:rsid w:val="33CE3940"/>
    <w:rsid w:val="33E2308C"/>
    <w:rsid w:val="33FF585B"/>
    <w:rsid w:val="34C969B6"/>
    <w:rsid w:val="35CB3800"/>
    <w:rsid w:val="36081486"/>
    <w:rsid w:val="3620464F"/>
    <w:rsid w:val="36267311"/>
    <w:rsid w:val="36ED2DC2"/>
    <w:rsid w:val="37C7711B"/>
    <w:rsid w:val="38616D76"/>
    <w:rsid w:val="39A2598F"/>
    <w:rsid w:val="3B1D4D3A"/>
    <w:rsid w:val="3B1E11F2"/>
    <w:rsid w:val="3B2E7C35"/>
    <w:rsid w:val="3B3261DC"/>
    <w:rsid w:val="3BCD3BF3"/>
    <w:rsid w:val="3BE87C7E"/>
    <w:rsid w:val="3C1B0BDA"/>
    <w:rsid w:val="3C1C2A58"/>
    <w:rsid w:val="3C3F629C"/>
    <w:rsid w:val="3CC57762"/>
    <w:rsid w:val="3D1A09CC"/>
    <w:rsid w:val="3D2E150D"/>
    <w:rsid w:val="3D774C98"/>
    <w:rsid w:val="3DA924E0"/>
    <w:rsid w:val="3DD26E51"/>
    <w:rsid w:val="3DFE15C4"/>
    <w:rsid w:val="3FFA159D"/>
    <w:rsid w:val="4028093E"/>
    <w:rsid w:val="404E68F6"/>
    <w:rsid w:val="40A203D0"/>
    <w:rsid w:val="41021CB6"/>
    <w:rsid w:val="42714C57"/>
    <w:rsid w:val="428C04CB"/>
    <w:rsid w:val="438A330C"/>
    <w:rsid w:val="43D2693C"/>
    <w:rsid w:val="43D74856"/>
    <w:rsid w:val="443A7490"/>
    <w:rsid w:val="44694FB6"/>
    <w:rsid w:val="44BE5853"/>
    <w:rsid w:val="44D416C8"/>
    <w:rsid w:val="44F042A4"/>
    <w:rsid w:val="45004955"/>
    <w:rsid w:val="45104F09"/>
    <w:rsid w:val="4568626D"/>
    <w:rsid w:val="45D44A70"/>
    <w:rsid w:val="461726D8"/>
    <w:rsid w:val="468D0F58"/>
    <w:rsid w:val="471B29A4"/>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E14CE5"/>
    <w:rsid w:val="4B820C21"/>
    <w:rsid w:val="4C0D30A7"/>
    <w:rsid w:val="4C740FBB"/>
    <w:rsid w:val="4CB32D3F"/>
    <w:rsid w:val="4D2C3744"/>
    <w:rsid w:val="4D5310C8"/>
    <w:rsid w:val="4D9828FA"/>
    <w:rsid w:val="4DF73079"/>
    <w:rsid w:val="4E222F58"/>
    <w:rsid w:val="4E63642D"/>
    <w:rsid w:val="4E734BC1"/>
    <w:rsid w:val="4EEE3525"/>
    <w:rsid w:val="4F4A5D3D"/>
    <w:rsid w:val="4FA71C42"/>
    <w:rsid w:val="4FB04A43"/>
    <w:rsid w:val="4FBE626D"/>
    <w:rsid w:val="50047D3F"/>
    <w:rsid w:val="50803E7A"/>
    <w:rsid w:val="50D16751"/>
    <w:rsid w:val="50FC4159"/>
    <w:rsid w:val="514A4193"/>
    <w:rsid w:val="51B07900"/>
    <w:rsid w:val="52387E00"/>
    <w:rsid w:val="52657DC0"/>
    <w:rsid w:val="52A02608"/>
    <w:rsid w:val="53046661"/>
    <w:rsid w:val="53F344DD"/>
    <w:rsid w:val="53F34D30"/>
    <w:rsid w:val="54141C5F"/>
    <w:rsid w:val="5415308F"/>
    <w:rsid w:val="559303C8"/>
    <w:rsid w:val="56902820"/>
    <w:rsid w:val="56D73D29"/>
    <w:rsid w:val="56D805CB"/>
    <w:rsid w:val="57252D4C"/>
    <w:rsid w:val="57C500BA"/>
    <w:rsid w:val="585C7AD6"/>
    <w:rsid w:val="587E7112"/>
    <w:rsid w:val="58B90AAC"/>
    <w:rsid w:val="58D33E46"/>
    <w:rsid w:val="59804317"/>
    <w:rsid w:val="5A3916BC"/>
    <w:rsid w:val="5A5554D1"/>
    <w:rsid w:val="5ACB668C"/>
    <w:rsid w:val="5AD564E3"/>
    <w:rsid w:val="5B4F5A23"/>
    <w:rsid w:val="5B9A48FE"/>
    <w:rsid w:val="5BE54260"/>
    <w:rsid w:val="5C03165A"/>
    <w:rsid w:val="5D0B6B17"/>
    <w:rsid w:val="5DDA7DC0"/>
    <w:rsid w:val="5DE001EE"/>
    <w:rsid w:val="5DE26877"/>
    <w:rsid w:val="5E0314D0"/>
    <w:rsid w:val="5EA54D66"/>
    <w:rsid w:val="5FAE3C1E"/>
    <w:rsid w:val="60176AA1"/>
    <w:rsid w:val="601C52A9"/>
    <w:rsid w:val="603B3B74"/>
    <w:rsid w:val="605B2BAE"/>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83359"/>
    <w:rsid w:val="66F52B79"/>
    <w:rsid w:val="674701DD"/>
    <w:rsid w:val="674E1284"/>
    <w:rsid w:val="6778453F"/>
    <w:rsid w:val="67791B52"/>
    <w:rsid w:val="678F7D1C"/>
    <w:rsid w:val="67B02672"/>
    <w:rsid w:val="67F34F90"/>
    <w:rsid w:val="67FA6925"/>
    <w:rsid w:val="68F9738C"/>
    <w:rsid w:val="690A41ED"/>
    <w:rsid w:val="6950210B"/>
    <w:rsid w:val="69B84930"/>
    <w:rsid w:val="6AA1751A"/>
    <w:rsid w:val="6B3773F6"/>
    <w:rsid w:val="6B695BBB"/>
    <w:rsid w:val="6CD75013"/>
    <w:rsid w:val="6D72001A"/>
    <w:rsid w:val="6D790A61"/>
    <w:rsid w:val="6E7D749A"/>
    <w:rsid w:val="6EC018FE"/>
    <w:rsid w:val="6F150A16"/>
    <w:rsid w:val="6FAC37F7"/>
    <w:rsid w:val="6FD518E1"/>
    <w:rsid w:val="709A16D4"/>
    <w:rsid w:val="70B558FD"/>
    <w:rsid w:val="7191735E"/>
    <w:rsid w:val="722B0C34"/>
    <w:rsid w:val="738E763D"/>
    <w:rsid w:val="73A57636"/>
    <w:rsid w:val="74521C25"/>
    <w:rsid w:val="74BC07DB"/>
    <w:rsid w:val="7530247A"/>
    <w:rsid w:val="759978CC"/>
    <w:rsid w:val="762E3794"/>
    <w:rsid w:val="76320D9A"/>
    <w:rsid w:val="76871284"/>
    <w:rsid w:val="769367A2"/>
    <w:rsid w:val="76D521E9"/>
    <w:rsid w:val="77DC6BAC"/>
    <w:rsid w:val="77EA2826"/>
    <w:rsid w:val="77EB1A53"/>
    <w:rsid w:val="78833509"/>
    <w:rsid w:val="78DE7EBE"/>
    <w:rsid w:val="79497FA2"/>
    <w:rsid w:val="799A470F"/>
    <w:rsid w:val="79B56430"/>
    <w:rsid w:val="7A496371"/>
    <w:rsid w:val="7A8B7C93"/>
    <w:rsid w:val="7B0E64C9"/>
    <w:rsid w:val="7B3426D8"/>
    <w:rsid w:val="7C1A4147"/>
    <w:rsid w:val="7CAD6BC4"/>
    <w:rsid w:val="7CC570E9"/>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3418</Words>
  <Characters>19486</Characters>
  <Lines>162</Lines>
  <Paragraphs>45</Paragraphs>
  <TotalTime>0</TotalTime>
  <ScaleCrop>false</ScaleCrop>
  <LinksUpToDate>false</LinksUpToDate>
  <CharactersWithSpaces>22859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2025-03-28T02:14:58Z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34D6510157444E8DA08695970280360A</vt:lpwstr>
  </property>
</Properties>
</file>